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9B66" w14:textId="3684E5EE" w:rsidR="00295F59" w:rsidRDefault="00371997" w:rsidP="003A4B82">
      <w:r>
        <w:rPr>
          <w:noProof/>
        </w:rPr>
        <w:drawing>
          <wp:anchor distT="0" distB="0" distL="114300" distR="114300" simplePos="0" relativeHeight="251658240" behindDoc="0" locked="0" layoutInCell="1" allowOverlap="1" wp14:anchorId="06ACA252" wp14:editId="66B9DF3B">
            <wp:simplePos x="0" y="0"/>
            <wp:positionH relativeFrom="column">
              <wp:posOffset>4898779</wp:posOffset>
            </wp:positionH>
            <wp:positionV relativeFrom="page">
              <wp:posOffset>591764</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14:paraId="5518E313" w14:textId="77777777" w:rsidR="00295F59" w:rsidRDefault="00295F59" w:rsidP="003A4B82"/>
    <w:p w14:paraId="54724CC7" w14:textId="77777777" w:rsidR="00295F59" w:rsidRDefault="00295F59" w:rsidP="003A4B82"/>
    <w:p w14:paraId="0C220252" w14:textId="031422BA" w:rsidR="00535327" w:rsidRDefault="00D60669" w:rsidP="003A4B82">
      <w:r>
        <w:tab/>
      </w:r>
    </w:p>
    <w:p w14:paraId="1D8B62B2" w14:textId="77777777" w:rsidR="00532963" w:rsidRDefault="00532963" w:rsidP="00532963">
      <w:pPr>
        <w:pStyle w:val="Title"/>
        <w:rPr>
          <w:highlight w:val="yellow"/>
        </w:rPr>
      </w:pPr>
    </w:p>
    <w:p w14:paraId="0A051643" w14:textId="77777777" w:rsidR="00532963" w:rsidRDefault="00532963" w:rsidP="00532963">
      <w:pPr>
        <w:pStyle w:val="Title"/>
        <w:rPr>
          <w:highlight w:val="yellow"/>
        </w:rPr>
      </w:pPr>
    </w:p>
    <w:p w14:paraId="3920AC5A" w14:textId="067B4BCA" w:rsidR="00EC23F5" w:rsidRPr="008076BF" w:rsidRDefault="002100A4" w:rsidP="003A4B82">
      <w:pPr>
        <w:spacing w:line="276" w:lineRule="auto"/>
        <w:rPr>
          <w:color w:val="1F497D" w:themeColor="text2"/>
        </w:rPr>
      </w:pPr>
      <w:r>
        <w:rPr>
          <w:noProof/>
          <w:color w:val="092869"/>
          <w:sz w:val="32"/>
          <w:szCs w:val="32"/>
        </w:rPr>
        <w:drawing>
          <wp:inline distT="0" distB="0" distL="0" distR="0" wp14:anchorId="43174259" wp14:editId="3C0BA497">
            <wp:extent cx="4191000" cy="954911"/>
            <wp:effectExtent l="0" t="0" r="0" b="0"/>
            <wp:docPr id="23" name="Picture 23" descr="Photone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hotonet Network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1984" cy="961971"/>
                    </a:xfrm>
                    <a:prstGeom prst="rect">
                      <a:avLst/>
                    </a:prstGeom>
                  </pic:spPr>
                </pic:pic>
              </a:graphicData>
            </a:graphic>
          </wp:inline>
        </w:drawing>
      </w:r>
    </w:p>
    <w:p w14:paraId="278D8EE4" w14:textId="77777777" w:rsidR="00265A8D" w:rsidRDefault="00265A8D" w:rsidP="003A4B82">
      <w:pPr>
        <w:spacing w:line="276" w:lineRule="auto"/>
      </w:pPr>
    </w:p>
    <w:p w14:paraId="5093AC4F" w14:textId="77777777" w:rsidR="00067432" w:rsidRDefault="00067432" w:rsidP="003A4B82">
      <w:pPr>
        <w:spacing w:line="276" w:lineRule="auto"/>
      </w:pPr>
    </w:p>
    <w:p w14:paraId="2BDEE70F" w14:textId="77777777" w:rsidR="002100A4" w:rsidRPr="002100A4" w:rsidRDefault="002100A4" w:rsidP="002100A4">
      <w:pPr>
        <w:outlineLvl w:val="0"/>
        <w:rPr>
          <w:b/>
          <w:color w:val="004785"/>
          <w:sz w:val="44"/>
          <w:szCs w:val="44"/>
          <w:u w:val="single"/>
        </w:rPr>
      </w:pPr>
      <w:r w:rsidRPr="002100A4">
        <w:rPr>
          <w:b/>
          <w:color w:val="004785"/>
          <w:sz w:val="44"/>
          <w:szCs w:val="44"/>
        </w:rPr>
        <w:t>Photosensitising Drugs and Phototherapy Guidance</w:t>
      </w:r>
    </w:p>
    <w:p w14:paraId="2A789FB5" w14:textId="1B8266B4" w:rsidR="00E65567" w:rsidRPr="002100A4" w:rsidRDefault="00E65567" w:rsidP="00E65567">
      <w:pPr>
        <w:rPr>
          <w:b/>
          <w:bCs/>
          <w:color w:val="1F497D" w:themeColor="text2"/>
          <w:sz w:val="44"/>
          <w:szCs w:val="44"/>
        </w:rPr>
      </w:pPr>
    </w:p>
    <w:p w14:paraId="3E28C8AC" w14:textId="69778D67" w:rsidR="00295F59" w:rsidRPr="00E65567" w:rsidRDefault="00B3664F" w:rsidP="00E65567">
      <w:pPr>
        <w:pStyle w:val="Subtitle"/>
        <w:spacing w:line="276" w:lineRule="auto"/>
        <w:rPr>
          <w:color w:val="1F497D" w:themeColor="text2"/>
        </w:rPr>
      </w:pPr>
      <w:r w:rsidRPr="00E65567">
        <w:rPr>
          <w:color w:val="1F497D" w:themeColor="text2"/>
          <w:highlight w:val="yellow"/>
        </w:rPr>
        <w:t xml:space="preserve"> </w:t>
      </w:r>
    </w:p>
    <w:p w14:paraId="7C0EC77E" w14:textId="77777777" w:rsidR="005A1EDC" w:rsidRDefault="005A1EDC" w:rsidP="003A4B82">
      <w:pPr>
        <w:spacing w:line="276" w:lineRule="auto"/>
      </w:pPr>
    </w:p>
    <w:p w14:paraId="66328EB5" w14:textId="77777777" w:rsidR="00295F59" w:rsidRDefault="00295F59" w:rsidP="003A4B82">
      <w:pPr>
        <w:spacing w:line="276" w:lineRule="auto"/>
      </w:pPr>
    </w:p>
    <w:p w14:paraId="6D59C708" w14:textId="77777777" w:rsidR="00295F59" w:rsidRDefault="00295F59" w:rsidP="003A4B82">
      <w:pPr>
        <w:spacing w:line="276" w:lineRule="auto"/>
      </w:pPr>
    </w:p>
    <w:p w14:paraId="0DC0A78F" w14:textId="77777777" w:rsidR="00BC120E" w:rsidRDefault="00BC120E" w:rsidP="003A4B82">
      <w:pPr>
        <w:spacing w:line="276" w:lineRule="auto"/>
      </w:pPr>
    </w:p>
    <w:p w14:paraId="27B8061E" w14:textId="77777777" w:rsidR="00BC120E" w:rsidRDefault="00BC120E" w:rsidP="003A4B82">
      <w:pPr>
        <w:spacing w:line="276" w:lineRule="auto"/>
      </w:pPr>
    </w:p>
    <w:p w14:paraId="0BB9A715" w14:textId="3C99A4F3" w:rsidR="00295F59" w:rsidRPr="00532963" w:rsidRDefault="00295F59" w:rsidP="003A4B82">
      <w:pPr>
        <w:spacing w:line="276" w:lineRule="auto"/>
        <w:rPr>
          <w:b/>
          <w:bCs/>
        </w:rPr>
      </w:pPr>
      <w:r w:rsidRPr="00532963">
        <w:rPr>
          <w:b/>
          <w:bCs/>
        </w:rPr>
        <w:t>NOTE</w:t>
      </w:r>
    </w:p>
    <w:p w14:paraId="6C4B81DB" w14:textId="2F5EC66B" w:rsidR="00295F59" w:rsidRPr="00295F59" w:rsidRDefault="00295F59" w:rsidP="003A4B82">
      <w:pPr>
        <w:spacing w:line="276" w:lineRule="auto"/>
      </w:pPr>
      <w:r w:rsidRPr="00295F59">
        <w:t xml:space="preserve">This guideline is not intended to be construed or to serve as a standard of care. Standards of care are determined </w:t>
      </w:r>
      <w:r w:rsidR="00532963" w:rsidRPr="00295F59">
        <w:t>based on</w:t>
      </w:r>
      <w:r w:rsidRPr="00295F59">
        <w:t xml:space="preserve"> all clinical data available for an individual case and are subject to change as scientific knowledge and technology advance and patterns of care evolve. Adherence to guideline recommendations will not ensure</w:t>
      </w:r>
      <w:r w:rsidRPr="003A4B82">
        <w:t xml:space="preserve"> a successful outcome in every case, nor should they be construed as including all proper methods of care or excluding</w:t>
      </w:r>
      <w:r w:rsidRPr="00295F59">
        <w:t xml:space="preserve">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14:paraId="11B914AF" w14:textId="7C0C5559" w:rsidR="00E956BE" w:rsidRDefault="00E72699" w:rsidP="002100A4">
      <w:pPr>
        <w:spacing w:after="120"/>
        <w:ind w:right="-329"/>
        <w:rPr>
          <w:sz w:val="28"/>
          <w:szCs w:val="28"/>
        </w:rPr>
      </w:pPr>
      <w:r w:rsidRPr="00E72699">
        <w:br w:type="page"/>
      </w:r>
    </w:p>
    <w:p w14:paraId="7C5A052D" w14:textId="77777777" w:rsidR="002100A4" w:rsidRDefault="002100A4" w:rsidP="002100A4">
      <w:pPr>
        <w:rPr>
          <w:bCs/>
        </w:rPr>
      </w:pPr>
    </w:p>
    <w:p w14:paraId="3885FABD" w14:textId="5CB73ADD" w:rsidR="002100A4" w:rsidRPr="002100A4" w:rsidRDefault="002100A4" w:rsidP="002100A4">
      <w:pPr>
        <w:spacing w:line="276" w:lineRule="auto"/>
        <w:rPr>
          <w:bCs/>
        </w:rPr>
      </w:pPr>
      <w:r w:rsidRPr="002100A4">
        <w:rPr>
          <w:bCs/>
        </w:rPr>
        <w:t xml:space="preserve">A frequent question concerns whether there is any need to take any particular action if a patient attending for phototherapy is placed on a drug that might be photosensitising (usually through a phototoxic mechanism).  The issues are often complex, and need decided on an individual patient basis but there are some general considerations which might be helpful. </w:t>
      </w:r>
    </w:p>
    <w:p w14:paraId="06F1053F" w14:textId="77777777" w:rsidR="002100A4" w:rsidRPr="002100A4" w:rsidRDefault="002100A4" w:rsidP="002100A4">
      <w:pPr>
        <w:spacing w:line="276" w:lineRule="auto"/>
        <w:rPr>
          <w:bCs/>
          <w:sz w:val="20"/>
          <w:szCs w:val="20"/>
        </w:rPr>
      </w:pPr>
    </w:p>
    <w:p w14:paraId="6762FA88" w14:textId="77777777" w:rsidR="002100A4" w:rsidRPr="002100A4" w:rsidRDefault="002100A4" w:rsidP="002100A4">
      <w:pPr>
        <w:spacing w:line="276" w:lineRule="auto"/>
        <w:rPr>
          <w:bCs/>
        </w:rPr>
      </w:pPr>
      <w:r w:rsidRPr="002100A4">
        <w:rPr>
          <w:bCs/>
        </w:rPr>
        <w:t xml:space="preserve">The type of phototherapy is relevant – most photosensitising drugs photosensitise within the ultraviolet A range. Therefore, UVA/UVA1 on its own (and if psoralen ultraviolet A [PUVA] is used without a pre-treatment minimal phototoxic dose [MPD] assessment this might sometimes be effectively UVA on its own) carries more risk when a photosensitising drug is introduced than if this happens during narrowband UVB or PUVA.   </w:t>
      </w:r>
    </w:p>
    <w:p w14:paraId="5B321988" w14:textId="77777777" w:rsidR="002100A4" w:rsidRPr="002100A4" w:rsidRDefault="002100A4" w:rsidP="002100A4">
      <w:pPr>
        <w:spacing w:line="276" w:lineRule="auto"/>
        <w:rPr>
          <w:bCs/>
          <w:sz w:val="20"/>
          <w:szCs w:val="20"/>
        </w:rPr>
      </w:pPr>
    </w:p>
    <w:p w14:paraId="2C0A665A" w14:textId="77777777" w:rsidR="002100A4" w:rsidRPr="002100A4" w:rsidRDefault="002100A4" w:rsidP="002100A4">
      <w:pPr>
        <w:spacing w:line="276" w:lineRule="auto"/>
        <w:rPr>
          <w:bCs/>
        </w:rPr>
      </w:pPr>
      <w:r w:rsidRPr="002100A4">
        <w:rPr>
          <w:bCs/>
        </w:rPr>
        <w:t xml:space="preserve">Some drugs do cause photosensitivity within the ultraviolet B range and this need considered.  If PUVA with an adequate dose of psoralen (and pre-treatment MPD assessment has confirmed the dose is adequate for the individual patient) is being used, additional drug photosensitisation should rarely be an issue as the phototoxic index of oral psoralens is often over 20 whereas even highly photosensitising other drugs only rarely have a phototoxic index of 5 or above.  This means that in practice the addition of a photosensitising drug to somebody who is already on PUVA will in most situations be of little importance. </w:t>
      </w:r>
    </w:p>
    <w:p w14:paraId="26054C69" w14:textId="77777777" w:rsidR="002100A4" w:rsidRPr="002100A4" w:rsidRDefault="002100A4" w:rsidP="002100A4">
      <w:pPr>
        <w:spacing w:line="276" w:lineRule="auto"/>
        <w:rPr>
          <w:bCs/>
          <w:sz w:val="20"/>
          <w:szCs w:val="20"/>
        </w:rPr>
      </w:pPr>
    </w:p>
    <w:p w14:paraId="34511716" w14:textId="77777777" w:rsidR="002100A4" w:rsidRPr="002100A4" w:rsidRDefault="002100A4" w:rsidP="002100A4">
      <w:pPr>
        <w:spacing w:line="276" w:lineRule="auto"/>
        <w:rPr>
          <w:bCs/>
        </w:rPr>
      </w:pPr>
      <w:r w:rsidRPr="002100A4">
        <w:rPr>
          <w:bCs/>
        </w:rPr>
        <w:t xml:space="preserve">Other factors that need considered apart from the type of phototherapy include the drug, possible drug interactions leading to differences in drug metabolites (it can be drug metabolites, rather than the parent drug, that cause photosensitivity) and, particularly, the dose of drug.  For example, doxycycline at 100 mg daily is only occasionally photosensitising in a western European population whereas at 200 mg daily it is commonly photosensitising. </w:t>
      </w:r>
    </w:p>
    <w:p w14:paraId="25EF70A6" w14:textId="77777777" w:rsidR="002100A4" w:rsidRPr="002100A4" w:rsidRDefault="002100A4" w:rsidP="002100A4">
      <w:pPr>
        <w:spacing w:line="276" w:lineRule="auto"/>
        <w:rPr>
          <w:bCs/>
          <w:sz w:val="20"/>
          <w:szCs w:val="20"/>
        </w:rPr>
      </w:pPr>
    </w:p>
    <w:p w14:paraId="6DC158FC" w14:textId="77777777" w:rsidR="002100A4" w:rsidRPr="002100A4" w:rsidRDefault="002100A4" w:rsidP="002100A4">
      <w:pPr>
        <w:spacing w:line="276" w:lineRule="auto"/>
        <w:rPr>
          <w:bCs/>
        </w:rPr>
      </w:pPr>
      <w:proofErr w:type="gramStart"/>
      <w:r w:rsidRPr="002100A4">
        <w:rPr>
          <w:bCs/>
        </w:rPr>
        <w:t>As a general rule</w:t>
      </w:r>
      <w:proofErr w:type="gramEnd"/>
      <w:r w:rsidRPr="002100A4">
        <w:rPr>
          <w:bCs/>
        </w:rPr>
        <w:t xml:space="preserve">, if a drug that might be photosensitising is started during a course of phototherapy, then if the drug course is to be short (e.g., 1 to 2 weeks) it is often best simply to withhold phototherapy during that course and, for most drugs, for 2 to 3 days thereafter to allow the drug to clear. </w:t>
      </w:r>
    </w:p>
    <w:p w14:paraId="2D7F9CBB" w14:textId="77777777" w:rsidR="002100A4" w:rsidRPr="002100A4" w:rsidRDefault="002100A4" w:rsidP="002100A4">
      <w:pPr>
        <w:spacing w:line="276" w:lineRule="auto"/>
        <w:rPr>
          <w:bCs/>
          <w:sz w:val="20"/>
          <w:szCs w:val="20"/>
        </w:rPr>
      </w:pPr>
    </w:p>
    <w:p w14:paraId="13AC7C0A" w14:textId="77777777" w:rsidR="002100A4" w:rsidRPr="002100A4" w:rsidRDefault="002100A4" w:rsidP="002100A4">
      <w:pPr>
        <w:spacing w:after="200" w:line="276" w:lineRule="auto"/>
        <w:rPr>
          <w:bCs/>
        </w:rPr>
      </w:pPr>
      <w:r w:rsidRPr="002100A4">
        <w:rPr>
          <w:bCs/>
        </w:rPr>
        <w:br w:type="page"/>
      </w:r>
    </w:p>
    <w:p w14:paraId="5B1F57C2" w14:textId="77777777" w:rsidR="002100A4" w:rsidRPr="002100A4" w:rsidRDefault="002100A4" w:rsidP="002100A4">
      <w:pPr>
        <w:spacing w:line="276" w:lineRule="auto"/>
        <w:rPr>
          <w:bCs/>
        </w:rPr>
      </w:pPr>
      <w:r w:rsidRPr="002100A4">
        <w:rPr>
          <w:bCs/>
        </w:rPr>
        <w:lastRenderedPageBreak/>
        <w:t xml:space="preserve">If the drug is initiated during a course of phototherapy and is likely to be continued for the duration of the course, then if early during the course it is often appropriate simply to go back a few doses. However, if the patient is at a high phototherapy dose and a drug likely to cause a photosensitivity problem is initiated, then repeat minimal erythema dose (MED) testing is usually appropriate to allow continuation of the phototherapy with as high a dose as is safely possible. </w:t>
      </w:r>
    </w:p>
    <w:p w14:paraId="5C769C4B" w14:textId="77777777" w:rsidR="002100A4" w:rsidRPr="002100A4" w:rsidRDefault="002100A4" w:rsidP="002100A4">
      <w:pPr>
        <w:spacing w:line="276" w:lineRule="auto"/>
        <w:rPr>
          <w:bCs/>
        </w:rPr>
      </w:pPr>
    </w:p>
    <w:p w14:paraId="4D56DBE3" w14:textId="77777777" w:rsidR="002100A4" w:rsidRPr="002100A4" w:rsidRDefault="002100A4" w:rsidP="002100A4">
      <w:pPr>
        <w:spacing w:line="276" w:lineRule="auto"/>
        <w:rPr>
          <w:bCs/>
        </w:rPr>
      </w:pPr>
      <w:r w:rsidRPr="002100A4">
        <w:rPr>
          <w:bCs/>
        </w:rPr>
        <w:t xml:space="preserve">Listed below under each of the types of </w:t>
      </w:r>
      <w:proofErr w:type="gramStart"/>
      <w:r w:rsidRPr="002100A4">
        <w:rPr>
          <w:bCs/>
        </w:rPr>
        <w:t>phototherapy</w:t>
      </w:r>
      <w:proofErr w:type="gramEnd"/>
      <w:r w:rsidRPr="002100A4">
        <w:rPr>
          <w:bCs/>
        </w:rPr>
        <w:t xml:space="preserve"> are drugs that are commonly added during phototherapy courses but are not an issue and others that may be a concern.</w:t>
      </w:r>
    </w:p>
    <w:p w14:paraId="183E69DC" w14:textId="77777777" w:rsidR="002100A4" w:rsidRPr="002100A4" w:rsidRDefault="002100A4" w:rsidP="002100A4">
      <w:pPr>
        <w:spacing w:line="276" w:lineRule="auto"/>
        <w:rPr>
          <w:bCs/>
        </w:rPr>
      </w:pPr>
    </w:p>
    <w:p w14:paraId="2D6FE0F5" w14:textId="77777777" w:rsidR="002100A4" w:rsidRPr="002100A4" w:rsidRDefault="002100A4" w:rsidP="002100A4">
      <w:pPr>
        <w:spacing w:line="276" w:lineRule="auto"/>
        <w:rPr>
          <w:b/>
          <w:u w:val="single"/>
        </w:rPr>
      </w:pPr>
      <w:r w:rsidRPr="002100A4">
        <w:rPr>
          <w:b/>
          <w:u w:val="single"/>
        </w:rPr>
        <w:t>Narrowband ultraviolet B</w:t>
      </w:r>
    </w:p>
    <w:p w14:paraId="3815EE25" w14:textId="77777777" w:rsidR="002100A4" w:rsidRPr="002100A4" w:rsidRDefault="002100A4" w:rsidP="002100A4">
      <w:pPr>
        <w:spacing w:line="276" w:lineRule="auto"/>
        <w:rPr>
          <w:bCs/>
        </w:rPr>
      </w:pPr>
      <w:r w:rsidRPr="002100A4">
        <w:rPr>
          <w:bCs/>
        </w:rPr>
        <w:t>The most frequently used drugs that could potentially cause a problem are:</w:t>
      </w:r>
    </w:p>
    <w:p w14:paraId="3C5DE4CC" w14:textId="77777777" w:rsidR="002100A4" w:rsidRPr="002100A4" w:rsidRDefault="002100A4" w:rsidP="002100A4">
      <w:pPr>
        <w:numPr>
          <w:ilvl w:val="0"/>
          <w:numId w:val="7"/>
        </w:numPr>
        <w:spacing w:after="200" w:line="276" w:lineRule="auto"/>
        <w:contextualSpacing/>
        <w:rPr>
          <w:bCs/>
        </w:rPr>
      </w:pPr>
      <w:r w:rsidRPr="002100A4">
        <w:rPr>
          <w:bCs/>
        </w:rPr>
        <w:t xml:space="preserve">Quinine </w:t>
      </w:r>
    </w:p>
    <w:p w14:paraId="791F3A67" w14:textId="77777777" w:rsidR="002100A4" w:rsidRPr="002100A4" w:rsidRDefault="002100A4" w:rsidP="002100A4">
      <w:pPr>
        <w:numPr>
          <w:ilvl w:val="0"/>
          <w:numId w:val="7"/>
        </w:numPr>
        <w:spacing w:after="200" w:line="276" w:lineRule="auto"/>
        <w:contextualSpacing/>
        <w:rPr>
          <w:bCs/>
        </w:rPr>
      </w:pPr>
      <w:r w:rsidRPr="002100A4">
        <w:rPr>
          <w:bCs/>
        </w:rPr>
        <w:t>Calcium channel blockers</w:t>
      </w:r>
    </w:p>
    <w:p w14:paraId="3E106885" w14:textId="77777777" w:rsidR="002100A4" w:rsidRPr="002100A4" w:rsidRDefault="002100A4" w:rsidP="002100A4">
      <w:pPr>
        <w:numPr>
          <w:ilvl w:val="0"/>
          <w:numId w:val="7"/>
        </w:numPr>
        <w:spacing w:after="200" w:line="276" w:lineRule="auto"/>
        <w:contextualSpacing/>
        <w:rPr>
          <w:bCs/>
        </w:rPr>
      </w:pPr>
      <w:r w:rsidRPr="002100A4">
        <w:rPr>
          <w:bCs/>
        </w:rPr>
        <w:t>NSAIDs (although in fact real problems with photosensitivity with these are rare)</w:t>
      </w:r>
    </w:p>
    <w:p w14:paraId="16868DC3" w14:textId="77777777" w:rsidR="002100A4" w:rsidRPr="002100A4" w:rsidRDefault="002100A4" w:rsidP="002100A4">
      <w:pPr>
        <w:numPr>
          <w:ilvl w:val="0"/>
          <w:numId w:val="7"/>
        </w:numPr>
        <w:spacing w:after="200" w:line="276" w:lineRule="auto"/>
        <w:contextualSpacing/>
        <w:rPr>
          <w:bCs/>
        </w:rPr>
      </w:pPr>
      <w:r w:rsidRPr="002100A4">
        <w:rPr>
          <w:bCs/>
        </w:rPr>
        <w:t>Bendroflumethiazide and other thiazides</w:t>
      </w:r>
    </w:p>
    <w:p w14:paraId="42F92457" w14:textId="77777777" w:rsidR="002100A4" w:rsidRPr="002100A4" w:rsidRDefault="002100A4" w:rsidP="002100A4">
      <w:pPr>
        <w:numPr>
          <w:ilvl w:val="0"/>
          <w:numId w:val="7"/>
        </w:numPr>
        <w:spacing w:after="200" w:line="276" w:lineRule="auto"/>
        <w:contextualSpacing/>
        <w:rPr>
          <w:bCs/>
        </w:rPr>
      </w:pPr>
      <w:r w:rsidRPr="002100A4">
        <w:rPr>
          <w:bCs/>
        </w:rPr>
        <w:t>Prochlorperazine</w:t>
      </w:r>
    </w:p>
    <w:p w14:paraId="6AF407C7" w14:textId="77777777" w:rsidR="002100A4" w:rsidRPr="002100A4" w:rsidRDefault="002100A4" w:rsidP="002100A4">
      <w:pPr>
        <w:numPr>
          <w:ilvl w:val="0"/>
          <w:numId w:val="7"/>
        </w:numPr>
        <w:spacing w:after="200" w:line="276" w:lineRule="auto"/>
        <w:contextualSpacing/>
        <w:rPr>
          <w:bCs/>
        </w:rPr>
      </w:pPr>
      <w:r w:rsidRPr="002100A4">
        <w:rPr>
          <w:bCs/>
        </w:rPr>
        <w:t>Chlorpromazine</w:t>
      </w:r>
    </w:p>
    <w:p w14:paraId="2EDB45E5" w14:textId="77777777" w:rsidR="002100A4" w:rsidRPr="002100A4" w:rsidRDefault="002100A4" w:rsidP="002100A4">
      <w:pPr>
        <w:numPr>
          <w:ilvl w:val="0"/>
          <w:numId w:val="7"/>
        </w:numPr>
        <w:spacing w:after="200" w:line="276" w:lineRule="auto"/>
        <w:contextualSpacing/>
        <w:rPr>
          <w:bCs/>
        </w:rPr>
      </w:pPr>
      <w:r w:rsidRPr="002100A4">
        <w:rPr>
          <w:bCs/>
        </w:rPr>
        <w:t>Doxycycline</w:t>
      </w:r>
    </w:p>
    <w:p w14:paraId="2D152B8C" w14:textId="77777777" w:rsidR="002100A4" w:rsidRPr="002100A4" w:rsidRDefault="002100A4" w:rsidP="002100A4">
      <w:pPr>
        <w:spacing w:line="276" w:lineRule="auto"/>
        <w:rPr>
          <w:bCs/>
        </w:rPr>
      </w:pPr>
    </w:p>
    <w:p w14:paraId="20346D08" w14:textId="77777777" w:rsidR="002100A4" w:rsidRPr="002100A4" w:rsidRDefault="002100A4" w:rsidP="002100A4">
      <w:pPr>
        <w:spacing w:line="276" w:lineRule="auto"/>
        <w:rPr>
          <w:bCs/>
        </w:rPr>
      </w:pPr>
      <w:r w:rsidRPr="002100A4">
        <w:rPr>
          <w:bCs/>
        </w:rPr>
        <w:t>Drugs that are not an issue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2100A4" w:rsidRPr="002100A4" w14:paraId="0C98740E" w14:textId="77777777" w:rsidTr="00190794">
        <w:tc>
          <w:tcPr>
            <w:tcW w:w="4621" w:type="dxa"/>
          </w:tcPr>
          <w:p w14:paraId="16479736" w14:textId="77777777" w:rsidR="002100A4" w:rsidRPr="002100A4" w:rsidRDefault="002100A4" w:rsidP="002100A4">
            <w:pPr>
              <w:numPr>
                <w:ilvl w:val="0"/>
                <w:numId w:val="10"/>
              </w:numPr>
              <w:contextualSpacing/>
              <w:rPr>
                <w:color w:val="auto"/>
              </w:rPr>
            </w:pPr>
            <w:r w:rsidRPr="002100A4">
              <w:rPr>
                <w:color w:val="auto"/>
              </w:rPr>
              <w:t>Amoxicillin</w:t>
            </w:r>
          </w:p>
        </w:tc>
        <w:tc>
          <w:tcPr>
            <w:tcW w:w="4621" w:type="dxa"/>
          </w:tcPr>
          <w:p w14:paraId="5380BB26" w14:textId="77777777" w:rsidR="002100A4" w:rsidRPr="002100A4" w:rsidRDefault="002100A4" w:rsidP="002100A4">
            <w:pPr>
              <w:numPr>
                <w:ilvl w:val="0"/>
                <w:numId w:val="9"/>
              </w:numPr>
              <w:ind w:left="341" w:hanging="341"/>
              <w:contextualSpacing/>
              <w:rPr>
                <w:color w:val="auto"/>
              </w:rPr>
            </w:pPr>
            <w:r w:rsidRPr="002100A4">
              <w:rPr>
                <w:color w:val="auto"/>
              </w:rPr>
              <w:t>Erythromycin</w:t>
            </w:r>
          </w:p>
        </w:tc>
      </w:tr>
      <w:tr w:rsidR="002100A4" w:rsidRPr="002100A4" w14:paraId="5E95ABFD" w14:textId="77777777" w:rsidTr="00190794">
        <w:tc>
          <w:tcPr>
            <w:tcW w:w="4621" w:type="dxa"/>
          </w:tcPr>
          <w:p w14:paraId="4FA8E8FE" w14:textId="77777777" w:rsidR="002100A4" w:rsidRPr="002100A4" w:rsidRDefault="002100A4" w:rsidP="002100A4">
            <w:pPr>
              <w:numPr>
                <w:ilvl w:val="0"/>
                <w:numId w:val="10"/>
              </w:numPr>
              <w:contextualSpacing/>
              <w:rPr>
                <w:color w:val="auto"/>
              </w:rPr>
            </w:pPr>
            <w:r w:rsidRPr="002100A4">
              <w:rPr>
                <w:color w:val="auto"/>
              </w:rPr>
              <w:t>Ampicillin</w:t>
            </w:r>
          </w:p>
          <w:p w14:paraId="1DFF430C" w14:textId="77777777" w:rsidR="002100A4" w:rsidRPr="002100A4" w:rsidRDefault="002100A4" w:rsidP="002100A4">
            <w:pPr>
              <w:numPr>
                <w:ilvl w:val="0"/>
                <w:numId w:val="10"/>
              </w:numPr>
              <w:contextualSpacing/>
              <w:rPr>
                <w:color w:val="auto"/>
              </w:rPr>
            </w:pPr>
            <w:r w:rsidRPr="002100A4">
              <w:rPr>
                <w:color w:val="auto"/>
              </w:rPr>
              <w:t>Co-amoxiclav</w:t>
            </w:r>
          </w:p>
        </w:tc>
        <w:tc>
          <w:tcPr>
            <w:tcW w:w="4621" w:type="dxa"/>
          </w:tcPr>
          <w:p w14:paraId="64BBF6FA" w14:textId="77777777" w:rsidR="002100A4" w:rsidRPr="002100A4" w:rsidRDefault="002100A4" w:rsidP="002100A4">
            <w:pPr>
              <w:numPr>
                <w:ilvl w:val="0"/>
                <w:numId w:val="9"/>
              </w:numPr>
              <w:ind w:left="341" w:hanging="341"/>
              <w:contextualSpacing/>
              <w:rPr>
                <w:color w:val="auto"/>
              </w:rPr>
            </w:pPr>
            <w:r w:rsidRPr="002100A4">
              <w:rPr>
                <w:color w:val="auto"/>
              </w:rPr>
              <w:t>Trimethoprim</w:t>
            </w:r>
          </w:p>
          <w:p w14:paraId="19FEC9F0" w14:textId="77777777" w:rsidR="002100A4" w:rsidRPr="002100A4" w:rsidRDefault="002100A4" w:rsidP="002100A4">
            <w:pPr>
              <w:numPr>
                <w:ilvl w:val="0"/>
                <w:numId w:val="9"/>
              </w:numPr>
              <w:ind w:left="341" w:hanging="341"/>
              <w:contextualSpacing/>
              <w:rPr>
                <w:color w:val="auto"/>
              </w:rPr>
            </w:pPr>
            <w:r w:rsidRPr="002100A4">
              <w:rPr>
                <w:color w:val="auto"/>
              </w:rPr>
              <w:t>Minocycline</w:t>
            </w:r>
          </w:p>
        </w:tc>
      </w:tr>
      <w:tr w:rsidR="002100A4" w:rsidRPr="002100A4" w14:paraId="3FD91FFC" w14:textId="77777777" w:rsidTr="00190794">
        <w:tc>
          <w:tcPr>
            <w:tcW w:w="4621" w:type="dxa"/>
          </w:tcPr>
          <w:p w14:paraId="2EF404C5" w14:textId="77777777" w:rsidR="002100A4" w:rsidRPr="002100A4" w:rsidRDefault="002100A4" w:rsidP="002100A4">
            <w:pPr>
              <w:numPr>
                <w:ilvl w:val="0"/>
                <w:numId w:val="10"/>
              </w:numPr>
              <w:contextualSpacing/>
              <w:rPr>
                <w:color w:val="auto"/>
              </w:rPr>
            </w:pPr>
            <w:r w:rsidRPr="002100A4">
              <w:rPr>
                <w:color w:val="auto"/>
              </w:rPr>
              <w:t>Cephalosporins</w:t>
            </w:r>
          </w:p>
        </w:tc>
        <w:tc>
          <w:tcPr>
            <w:tcW w:w="4621" w:type="dxa"/>
          </w:tcPr>
          <w:p w14:paraId="6267B6B5" w14:textId="77777777" w:rsidR="002100A4" w:rsidRPr="002100A4" w:rsidRDefault="002100A4" w:rsidP="002100A4">
            <w:pPr>
              <w:numPr>
                <w:ilvl w:val="0"/>
                <w:numId w:val="9"/>
              </w:numPr>
              <w:ind w:left="341" w:hanging="341"/>
              <w:contextualSpacing/>
              <w:rPr>
                <w:color w:val="auto"/>
              </w:rPr>
            </w:pPr>
            <w:r w:rsidRPr="002100A4">
              <w:rPr>
                <w:color w:val="auto"/>
              </w:rPr>
              <w:t>Lymecycline</w:t>
            </w:r>
          </w:p>
        </w:tc>
      </w:tr>
      <w:tr w:rsidR="002100A4" w:rsidRPr="002100A4" w14:paraId="33848848" w14:textId="77777777" w:rsidTr="00190794">
        <w:tc>
          <w:tcPr>
            <w:tcW w:w="4621" w:type="dxa"/>
          </w:tcPr>
          <w:p w14:paraId="07ACE569" w14:textId="77777777" w:rsidR="002100A4" w:rsidRPr="002100A4" w:rsidRDefault="002100A4" w:rsidP="002100A4">
            <w:pPr>
              <w:numPr>
                <w:ilvl w:val="0"/>
                <w:numId w:val="10"/>
              </w:numPr>
              <w:contextualSpacing/>
              <w:rPr>
                <w:color w:val="auto"/>
              </w:rPr>
            </w:pPr>
            <w:r w:rsidRPr="002100A4">
              <w:rPr>
                <w:color w:val="auto"/>
              </w:rPr>
              <w:t>Flucloxacillin</w:t>
            </w:r>
          </w:p>
        </w:tc>
        <w:tc>
          <w:tcPr>
            <w:tcW w:w="4621" w:type="dxa"/>
          </w:tcPr>
          <w:p w14:paraId="0EE99EFA" w14:textId="77777777" w:rsidR="002100A4" w:rsidRPr="002100A4" w:rsidRDefault="002100A4" w:rsidP="002100A4">
            <w:pPr>
              <w:numPr>
                <w:ilvl w:val="0"/>
                <w:numId w:val="9"/>
              </w:numPr>
              <w:ind w:left="341" w:hanging="341"/>
              <w:contextualSpacing/>
              <w:rPr>
                <w:color w:val="auto"/>
              </w:rPr>
            </w:pPr>
            <w:r w:rsidRPr="002100A4">
              <w:rPr>
                <w:color w:val="auto"/>
              </w:rPr>
              <w:t>Oxytetracycline</w:t>
            </w:r>
          </w:p>
        </w:tc>
      </w:tr>
      <w:tr w:rsidR="002100A4" w:rsidRPr="002100A4" w14:paraId="063DE78B" w14:textId="77777777" w:rsidTr="00190794">
        <w:tc>
          <w:tcPr>
            <w:tcW w:w="4621" w:type="dxa"/>
          </w:tcPr>
          <w:p w14:paraId="7E6CF31E" w14:textId="77777777" w:rsidR="002100A4" w:rsidRPr="002100A4" w:rsidRDefault="002100A4" w:rsidP="002100A4">
            <w:pPr>
              <w:numPr>
                <w:ilvl w:val="0"/>
                <w:numId w:val="10"/>
              </w:numPr>
              <w:contextualSpacing/>
              <w:rPr>
                <w:color w:val="auto"/>
              </w:rPr>
            </w:pPr>
            <w:r w:rsidRPr="002100A4">
              <w:rPr>
                <w:color w:val="auto"/>
              </w:rPr>
              <w:t>Penicillin V</w:t>
            </w:r>
          </w:p>
        </w:tc>
        <w:tc>
          <w:tcPr>
            <w:tcW w:w="4621" w:type="dxa"/>
          </w:tcPr>
          <w:p w14:paraId="34B7B23F" w14:textId="77777777" w:rsidR="002100A4" w:rsidRPr="002100A4" w:rsidRDefault="002100A4" w:rsidP="002100A4">
            <w:pPr>
              <w:numPr>
                <w:ilvl w:val="0"/>
                <w:numId w:val="9"/>
              </w:numPr>
              <w:ind w:left="341" w:hanging="341"/>
              <w:contextualSpacing/>
              <w:rPr>
                <w:color w:val="auto"/>
              </w:rPr>
            </w:pPr>
            <w:r w:rsidRPr="002100A4">
              <w:rPr>
                <w:color w:val="auto"/>
              </w:rPr>
              <w:t>Morphine</w:t>
            </w:r>
          </w:p>
        </w:tc>
      </w:tr>
      <w:tr w:rsidR="002100A4" w:rsidRPr="002100A4" w14:paraId="056B2F8D" w14:textId="77777777" w:rsidTr="00190794">
        <w:tc>
          <w:tcPr>
            <w:tcW w:w="4621" w:type="dxa"/>
          </w:tcPr>
          <w:p w14:paraId="0FE86C02" w14:textId="77777777" w:rsidR="002100A4" w:rsidRPr="002100A4" w:rsidRDefault="002100A4" w:rsidP="002100A4">
            <w:pPr>
              <w:numPr>
                <w:ilvl w:val="0"/>
                <w:numId w:val="10"/>
              </w:numPr>
              <w:contextualSpacing/>
              <w:rPr>
                <w:color w:val="auto"/>
              </w:rPr>
            </w:pPr>
            <w:r w:rsidRPr="002100A4">
              <w:rPr>
                <w:color w:val="auto"/>
              </w:rPr>
              <w:t>Metronidazole</w:t>
            </w:r>
          </w:p>
        </w:tc>
        <w:tc>
          <w:tcPr>
            <w:tcW w:w="4621" w:type="dxa"/>
          </w:tcPr>
          <w:p w14:paraId="62843828" w14:textId="77777777" w:rsidR="002100A4" w:rsidRPr="002100A4" w:rsidRDefault="002100A4" w:rsidP="002100A4">
            <w:pPr>
              <w:ind w:left="709"/>
              <w:contextualSpacing/>
              <w:rPr>
                <w:color w:val="auto"/>
              </w:rPr>
            </w:pPr>
          </w:p>
        </w:tc>
      </w:tr>
      <w:tr w:rsidR="002100A4" w:rsidRPr="002100A4" w14:paraId="5D14F360" w14:textId="77777777" w:rsidTr="00190794">
        <w:tc>
          <w:tcPr>
            <w:tcW w:w="4621" w:type="dxa"/>
          </w:tcPr>
          <w:p w14:paraId="7C0BDF9A" w14:textId="77777777" w:rsidR="002100A4" w:rsidRPr="002100A4" w:rsidRDefault="002100A4" w:rsidP="002100A4">
            <w:pPr>
              <w:numPr>
                <w:ilvl w:val="0"/>
                <w:numId w:val="10"/>
              </w:numPr>
              <w:contextualSpacing/>
              <w:rPr>
                <w:color w:val="auto"/>
              </w:rPr>
            </w:pPr>
            <w:r w:rsidRPr="002100A4">
              <w:rPr>
                <w:color w:val="auto"/>
              </w:rPr>
              <w:t>Clarithromycin</w:t>
            </w:r>
          </w:p>
        </w:tc>
        <w:tc>
          <w:tcPr>
            <w:tcW w:w="4621" w:type="dxa"/>
          </w:tcPr>
          <w:p w14:paraId="6E8E1DAA" w14:textId="77777777" w:rsidR="002100A4" w:rsidRPr="002100A4" w:rsidRDefault="002100A4" w:rsidP="002100A4">
            <w:pPr>
              <w:rPr>
                <w:color w:val="auto"/>
              </w:rPr>
            </w:pPr>
          </w:p>
        </w:tc>
      </w:tr>
    </w:tbl>
    <w:p w14:paraId="07C98404" w14:textId="77777777" w:rsidR="002100A4" w:rsidRPr="002100A4" w:rsidRDefault="002100A4" w:rsidP="002100A4">
      <w:pPr>
        <w:spacing w:line="276" w:lineRule="auto"/>
        <w:rPr>
          <w:bCs/>
        </w:rPr>
      </w:pPr>
    </w:p>
    <w:p w14:paraId="58DA54A2" w14:textId="77777777" w:rsidR="002100A4" w:rsidRPr="002100A4" w:rsidRDefault="002100A4" w:rsidP="002100A4">
      <w:pPr>
        <w:spacing w:line="276" w:lineRule="auto"/>
        <w:rPr>
          <w:bCs/>
        </w:rPr>
      </w:pPr>
      <w:r w:rsidRPr="002100A4">
        <w:rPr>
          <w:bCs/>
        </w:rPr>
        <w:t>Broadband ultraviolet A monotherapy (i.e. without psoralen) and ultraviolet A1</w:t>
      </w:r>
    </w:p>
    <w:p w14:paraId="4AEDBA1F" w14:textId="77777777" w:rsidR="002100A4" w:rsidRPr="002100A4" w:rsidRDefault="002100A4" w:rsidP="002100A4">
      <w:pPr>
        <w:spacing w:line="276" w:lineRule="auto"/>
        <w:rPr>
          <w:bCs/>
        </w:rPr>
      </w:pPr>
      <w:r w:rsidRPr="002100A4">
        <w:rPr>
          <w:bCs/>
        </w:rPr>
        <w:t>Drugs that may be an issue include:</w:t>
      </w:r>
    </w:p>
    <w:p w14:paraId="1D0A06FD" w14:textId="77777777" w:rsidR="002100A4" w:rsidRPr="002100A4" w:rsidRDefault="002100A4" w:rsidP="002100A4">
      <w:pPr>
        <w:numPr>
          <w:ilvl w:val="0"/>
          <w:numId w:val="8"/>
        </w:numPr>
        <w:spacing w:after="200" w:line="276" w:lineRule="auto"/>
        <w:contextualSpacing/>
        <w:rPr>
          <w:bCs/>
        </w:rPr>
      </w:pPr>
      <w:r w:rsidRPr="002100A4">
        <w:rPr>
          <w:bCs/>
        </w:rPr>
        <w:t>Doxycycline</w:t>
      </w:r>
    </w:p>
    <w:p w14:paraId="24BAD594" w14:textId="77777777" w:rsidR="002100A4" w:rsidRPr="002100A4" w:rsidRDefault="002100A4" w:rsidP="002100A4">
      <w:pPr>
        <w:numPr>
          <w:ilvl w:val="0"/>
          <w:numId w:val="8"/>
        </w:numPr>
        <w:spacing w:after="200" w:line="276" w:lineRule="auto"/>
        <w:contextualSpacing/>
        <w:rPr>
          <w:bCs/>
        </w:rPr>
      </w:pPr>
      <w:r w:rsidRPr="002100A4">
        <w:rPr>
          <w:bCs/>
        </w:rPr>
        <w:t>Quinolone antibiotics such as ciprofloxacin</w:t>
      </w:r>
    </w:p>
    <w:p w14:paraId="2EA0550D" w14:textId="77777777" w:rsidR="002100A4" w:rsidRPr="002100A4" w:rsidRDefault="002100A4" w:rsidP="002100A4">
      <w:pPr>
        <w:numPr>
          <w:ilvl w:val="0"/>
          <w:numId w:val="8"/>
        </w:numPr>
        <w:spacing w:after="200" w:line="276" w:lineRule="auto"/>
        <w:contextualSpacing/>
        <w:rPr>
          <w:bCs/>
        </w:rPr>
      </w:pPr>
      <w:r w:rsidRPr="002100A4">
        <w:rPr>
          <w:bCs/>
        </w:rPr>
        <w:t>Bendroflumethiazide</w:t>
      </w:r>
    </w:p>
    <w:p w14:paraId="57EB95BC" w14:textId="77777777" w:rsidR="002100A4" w:rsidRPr="002100A4" w:rsidRDefault="002100A4" w:rsidP="002100A4">
      <w:pPr>
        <w:numPr>
          <w:ilvl w:val="0"/>
          <w:numId w:val="8"/>
        </w:numPr>
        <w:spacing w:after="200" w:line="276" w:lineRule="auto"/>
        <w:contextualSpacing/>
        <w:rPr>
          <w:bCs/>
        </w:rPr>
      </w:pPr>
      <w:r w:rsidRPr="002100A4">
        <w:rPr>
          <w:bCs/>
        </w:rPr>
        <w:t>Other thiazide diuretics</w:t>
      </w:r>
    </w:p>
    <w:p w14:paraId="03DC281D" w14:textId="77777777" w:rsidR="002100A4" w:rsidRPr="002100A4" w:rsidRDefault="002100A4" w:rsidP="002100A4">
      <w:pPr>
        <w:numPr>
          <w:ilvl w:val="0"/>
          <w:numId w:val="8"/>
        </w:numPr>
        <w:spacing w:after="200" w:line="276" w:lineRule="auto"/>
        <w:contextualSpacing/>
        <w:rPr>
          <w:bCs/>
        </w:rPr>
      </w:pPr>
      <w:r w:rsidRPr="002100A4">
        <w:rPr>
          <w:bCs/>
        </w:rPr>
        <w:t>NSAIDs</w:t>
      </w:r>
    </w:p>
    <w:p w14:paraId="2FFB99B5" w14:textId="77777777" w:rsidR="002100A4" w:rsidRPr="002100A4" w:rsidRDefault="002100A4" w:rsidP="002100A4">
      <w:pPr>
        <w:numPr>
          <w:ilvl w:val="0"/>
          <w:numId w:val="8"/>
        </w:numPr>
        <w:spacing w:after="200" w:line="276" w:lineRule="auto"/>
        <w:contextualSpacing/>
        <w:rPr>
          <w:bCs/>
        </w:rPr>
      </w:pPr>
      <w:r w:rsidRPr="002100A4">
        <w:rPr>
          <w:bCs/>
        </w:rPr>
        <w:t>Phenothiazines (includes chlorpromazine, prochlorperazine)</w:t>
      </w:r>
    </w:p>
    <w:p w14:paraId="62447EEE" w14:textId="77777777" w:rsidR="002100A4" w:rsidRPr="002100A4" w:rsidRDefault="002100A4" w:rsidP="002100A4">
      <w:pPr>
        <w:spacing w:line="276" w:lineRule="auto"/>
        <w:rPr>
          <w:bCs/>
        </w:rPr>
      </w:pPr>
    </w:p>
    <w:p w14:paraId="78C669EB" w14:textId="77777777" w:rsidR="002100A4" w:rsidRPr="002100A4" w:rsidRDefault="002100A4" w:rsidP="002100A4">
      <w:pPr>
        <w:spacing w:line="276" w:lineRule="auto"/>
        <w:rPr>
          <w:bCs/>
        </w:rPr>
      </w:pPr>
    </w:p>
    <w:p w14:paraId="6EDA4711" w14:textId="77777777" w:rsidR="002100A4" w:rsidRDefault="002100A4" w:rsidP="002100A4">
      <w:pPr>
        <w:spacing w:line="276" w:lineRule="auto"/>
        <w:rPr>
          <w:bCs/>
        </w:rPr>
      </w:pPr>
    </w:p>
    <w:p w14:paraId="4B6F608C" w14:textId="77777777" w:rsidR="002100A4" w:rsidRDefault="002100A4" w:rsidP="002100A4">
      <w:pPr>
        <w:spacing w:line="276" w:lineRule="auto"/>
        <w:rPr>
          <w:bCs/>
        </w:rPr>
      </w:pPr>
    </w:p>
    <w:p w14:paraId="0E2280E3" w14:textId="77777777" w:rsidR="002100A4" w:rsidRPr="002100A4" w:rsidRDefault="002100A4" w:rsidP="002100A4">
      <w:pPr>
        <w:spacing w:line="276" w:lineRule="auto"/>
        <w:rPr>
          <w:bCs/>
        </w:rPr>
      </w:pPr>
    </w:p>
    <w:p w14:paraId="46E54A31" w14:textId="77777777" w:rsidR="002100A4" w:rsidRPr="002100A4" w:rsidRDefault="002100A4" w:rsidP="002100A4">
      <w:pPr>
        <w:spacing w:line="276" w:lineRule="auto"/>
        <w:rPr>
          <w:bCs/>
        </w:rPr>
      </w:pPr>
      <w:r w:rsidRPr="002100A4">
        <w:rPr>
          <w:bCs/>
        </w:rPr>
        <w:lastRenderedPageBreak/>
        <w:t>Drugs that are not a concern include: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271"/>
      </w:tblGrid>
      <w:tr w:rsidR="002100A4" w:rsidRPr="002100A4" w14:paraId="1FADFEB3" w14:textId="77777777" w:rsidTr="00190794">
        <w:tc>
          <w:tcPr>
            <w:tcW w:w="4251" w:type="dxa"/>
          </w:tcPr>
          <w:p w14:paraId="655C0CBF" w14:textId="77777777" w:rsidR="002100A4" w:rsidRPr="002100A4" w:rsidRDefault="002100A4" w:rsidP="002100A4">
            <w:pPr>
              <w:numPr>
                <w:ilvl w:val="0"/>
                <w:numId w:val="11"/>
              </w:numPr>
              <w:ind w:left="492"/>
              <w:contextualSpacing/>
              <w:rPr>
                <w:color w:val="auto"/>
              </w:rPr>
            </w:pPr>
            <w:r w:rsidRPr="002100A4">
              <w:rPr>
                <w:color w:val="auto"/>
              </w:rPr>
              <w:t>Flucloxacillin</w:t>
            </w:r>
          </w:p>
        </w:tc>
        <w:tc>
          <w:tcPr>
            <w:tcW w:w="4271" w:type="dxa"/>
          </w:tcPr>
          <w:p w14:paraId="1761D827" w14:textId="77777777" w:rsidR="002100A4" w:rsidRPr="002100A4" w:rsidRDefault="002100A4" w:rsidP="002100A4">
            <w:pPr>
              <w:numPr>
                <w:ilvl w:val="0"/>
                <w:numId w:val="11"/>
              </w:numPr>
              <w:ind w:left="492"/>
              <w:contextualSpacing/>
              <w:rPr>
                <w:color w:val="auto"/>
              </w:rPr>
            </w:pPr>
            <w:r w:rsidRPr="002100A4">
              <w:rPr>
                <w:color w:val="auto"/>
              </w:rPr>
              <w:t>Erythromycin</w:t>
            </w:r>
          </w:p>
        </w:tc>
      </w:tr>
      <w:tr w:rsidR="002100A4" w:rsidRPr="002100A4" w14:paraId="4ABE8884" w14:textId="77777777" w:rsidTr="00190794">
        <w:tc>
          <w:tcPr>
            <w:tcW w:w="4251" w:type="dxa"/>
          </w:tcPr>
          <w:p w14:paraId="7110EB25" w14:textId="77777777" w:rsidR="002100A4" w:rsidRPr="002100A4" w:rsidRDefault="002100A4" w:rsidP="002100A4">
            <w:pPr>
              <w:numPr>
                <w:ilvl w:val="0"/>
                <w:numId w:val="11"/>
              </w:numPr>
              <w:ind w:left="492"/>
              <w:contextualSpacing/>
              <w:rPr>
                <w:color w:val="auto"/>
              </w:rPr>
            </w:pPr>
            <w:r w:rsidRPr="002100A4">
              <w:rPr>
                <w:color w:val="auto"/>
              </w:rPr>
              <w:t>Amoxicillin</w:t>
            </w:r>
          </w:p>
        </w:tc>
        <w:tc>
          <w:tcPr>
            <w:tcW w:w="4271" w:type="dxa"/>
          </w:tcPr>
          <w:p w14:paraId="3119EDA4" w14:textId="77777777" w:rsidR="002100A4" w:rsidRPr="002100A4" w:rsidRDefault="002100A4" w:rsidP="002100A4">
            <w:pPr>
              <w:numPr>
                <w:ilvl w:val="0"/>
                <w:numId w:val="11"/>
              </w:numPr>
              <w:ind w:left="492"/>
              <w:contextualSpacing/>
              <w:rPr>
                <w:color w:val="auto"/>
              </w:rPr>
            </w:pPr>
            <w:r w:rsidRPr="002100A4">
              <w:rPr>
                <w:color w:val="auto"/>
              </w:rPr>
              <w:t>Trimethoprim</w:t>
            </w:r>
          </w:p>
        </w:tc>
      </w:tr>
      <w:tr w:rsidR="002100A4" w:rsidRPr="002100A4" w14:paraId="4F73395E" w14:textId="77777777" w:rsidTr="00190794">
        <w:tc>
          <w:tcPr>
            <w:tcW w:w="4251" w:type="dxa"/>
          </w:tcPr>
          <w:p w14:paraId="0A8804ED" w14:textId="77777777" w:rsidR="002100A4" w:rsidRPr="002100A4" w:rsidRDefault="002100A4" w:rsidP="002100A4">
            <w:pPr>
              <w:numPr>
                <w:ilvl w:val="0"/>
                <w:numId w:val="11"/>
              </w:numPr>
              <w:ind w:left="492"/>
              <w:contextualSpacing/>
              <w:rPr>
                <w:color w:val="auto"/>
              </w:rPr>
            </w:pPr>
            <w:r w:rsidRPr="002100A4">
              <w:rPr>
                <w:color w:val="auto"/>
              </w:rPr>
              <w:t>Ampicillin</w:t>
            </w:r>
          </w:p>
        </w:tc>
        <w:tc>
          <w:tcPr>
            <w:tcW w:w="4271" w:type="dxa"/>
          </w:tcPr>
          <w:p w14:paraId="1F31AAD4" w14:textId="77777777" w:rsidR="002100A4" w:rsidRPr="002100A4" w:rsidRDefault="002100A4" w:rsidP="002100A4">
            <w:pPr>
              <w:numPr>
                <w:ilvl w:val="0"/>
                <w:numId w:val="11"/>
              </w:numPr>
              <w:ind w:left="492"/>
              <w:contextualSpacing/>
              <w:rPr>
                <w:color w:val="auto"/>
              </w:rPr>
            </w:pPr>
            <w:r w:rsidRPr="002100A4">
              <w:rPr>
                <w:color w:val="auto"/>
              </w:rPr>
              <w:t>Minocycline</w:t>
            </w:r>
          </w:p>
        </w:tc>
      </w:tr>
      <w:tr w:rsidR="002100A4" w:rsidRPr="002100A4" w14:paraId="0BA697EE" w14:textId="77777777" w:rsidTr="00190794">
        <w:tc>
          <w:tcPr>
            <w:tcW w:w="4251" w:type="dxa"/>
          </w:tcPr>
          <w:p w14:paraId="126CA763" w14:textId="77777777" w:rsidR="002100A4" w:rsidRPr="002100A4" w:rsidRDefault="002100A4" w:rsidP="002100A4">
            <w:pPr>
              <w:numPr>
                <w:ilvl w:val="0"/>
                <w:numId w:val="11"/>
              </w:numPr>
              <w:ind w:left="492"/>
              <w:contextualSpacing/>
              <w:rPr>
                <w:color w:val="auto"/>
              </w:rPr>
            </w:pPr>
            <w:r w:rsidRPr="002100A4">
              <w:rPr>
                <w:color w:val="auto"/>
              </w:rPr>
              <w:t>Penicillin V</w:t>
            </w:r>
          </w:p>
          <w:p w14:paraId="6D5E4B71" w14:textId="77777777" w:rsidR="002100A4" w:rsidRPr="002100A4" w:rsidRDefault="002100A4" w:rsidP="002100A4">
            <w:pPr>
              <w:numPr>
                <w:ilvl w:val="0"/>
                <w:numId w:val="11"/>
              </w:numPr>
              <w:ind w:left="492"/>
              <w:contextualSpacing/>
              <w:rPr>
                <w:color w:val="auto"/>
              </w:rPr>
            </w:pPr>
            <w:r w:rsidRPr="002100A4">
              <w:rPr>
                <w:color w:val="auto"/>
              </w:rPr>
              <w:t>Co-amoxiclav</w:t>
            </w:r>
          </w:p>
          <w:p w14:paraId="55811D05" w14:textId="77777777" w:rsidR="002100A4" w:rsidRPr="002100A4" w:rsidRDefault="002100A4" w:rsidP="002100A4">
            <w:pPr>
              <w:numPr>
                <w:ilvl w:val="0"/>
                <w:numId w:val="11"/>
              </w:numPr>
              <w:ind w:left="492"/>
              <w:contextualSpacing/>
              <w:rPr>
                <w:color w:val="auto"/>
              </w:rPr>
            </w:pPr>
            <w:r w:rsidRPr="002100A4">
              <w:rPr>
                <w:color w:val="auto"/>
              </w:rPr>
              <w:t>Cephalosporin antibiotics</w:t>
            </w:r>
          </w:p>
        </w:tc>
        <w:tc>
          <w:tcPr>
            <w:tcW w:w="4271" w:type="dxa"/>
          </w:tcPr>
          <w:p w14:paraId="5543231B" w14:textId="77777777" w:rsidR="002100A4" w:rsidRPr="002100A4" w:rsidRDefault="002100A4" w:rsidP="002100A4">
            <w:pPr>
              <w:numPr>
                <w:ilvl w:val="0"/>
                <w:numId w:val="11"/>
              </w:numPr>
              <w:ind w:left="492"/>
              <w:contextualSpacing/>
              <w:rPr>
                <w:color w:val="auto"/>
              </w:rPr>
            </w:pPr>
            <w:r w:rsidRPr="002100A4">
              <w:rPr>
                <w:color w:val="auto"/>
              </w:rPr>
              <w:t>Lymecycline (but caution with UVA1 – stay at same dose when lymecycline started)</w:t>
            </w:r>
          </w:p>
        </w:tc>
      </w:tr>
      <w:tr w:rsidR="002100A4" w:rsidRPr="002100A4" w14:paraId="4FDA3E11" w14:textId="77777777" w:rsidTr="00190794">
        <w:tc>
          <w:tcPr>
            <w:tcW w:w="4251" w:type="dxa"/>
          </w:tcPr>
          <w:p w14:paraId="111F4621" w14:textId="77777777" w:rsidR="002100A4" w:rsidRPr="002100A4" w:rsidRDefault="002100A4" w:rsidP="002100A4">
            <w:pPr>
              <w:numPr>
                <w:ilvl w:val="0"/>
                <w:numId w:val="11"/>
              </w:numPr>
              <w:ind w:left="492"/>
              <w:contextualSpacing/>
              <w:rPr>
                <w:color w:val="auto"/>
              </w:rPr>
            </w:pPr>
            <w:r w:rsidRPr="002100A4">
              <w:rPr>
                <w:color w:val="auto"/>
              </w:rPr>
              <w:t>Metronidazole</w:t>
            </w:r>
          </w:p>
        </w:tc>
        <w:tc>
          <w:tcPr>
            <w:tcW w:w="4271" w:type="dxa"/>
          </w:tcPr>
          <w:p w14:paraId="77D20A18" w14:textId="77777777" w:rsidR="002100A4" w:rsidRPr="002100A4" w:rsidRDefault="002100A4" w:rsidP="002100A4">
            <w:pPr>
              <w:numPr>
                <w:ilvl w:val="0"/>
                <w:numId w:val="11"/>
              </w:numPr>
              <w:ind w:left="492"/>
              <w:contextualSpacing/>
              <w:rPr>
                <w:color w:val="auto"/>
              </w:rPr>
            </w:pPr>
            <w:r w:rsidRPr="002100A4">
              <w:rPr>
                <w:color w:val="auto"/>
              </w:rPr>
              <w:t>Oxytetracycline</w:t>
            </w:r>
          </w:p>
        </w:tc>
      </w:tr>
      <w:tr w:rsidR="002100A4" w:rsidRPr="002100A4" w14:paraId="7CC8549E" w14:textId="77777777" w:rsidTr="00190794">
        <w:tc>
          <w:tcPr>
            <w:tcW w:w="4251" w:type="dxa"/>
          </w:tcPr>
          <w:p w14:paraId="028BFC0E" w14:textId="77777777" w:rsidR="002100A4" w:rsidRPr="002100A4" w:rsidRDefault="002100A4" w:rsidP="002100A4">
            <w:pPr>
              <w:numPr>
                <w:ilvl w:val="0"/>
                <w:numId w:val="11"/>
              </w:numPr>
              <w:ind w:left="492"/>
              <w:contextualSpacing/>
              <w:rPr>
                <w:color w:val="auto"/>
              </w:rPr>
            </w:pPr>
            <w:r w:rsidRPr="002100A4">
              <w:rPr>
                <w:color w:val="auto"/>
              </w:rPr>
              <w:t>Clarithromycin</w:t>
            </w:r>
          </w:p>
        </w:tc>
        <w:tc>
          <w:tcPr>
            <w:tcW w:w="4271" w:type="dxa"/>
          </w:tcPr>
          <w:p w14:paraId="4F514B73" w14:textId="77777777" w:rsidR="002100A4" w:rsidRPr="002100A4" w:rsidRDefault="002100A4" w:rsidP="002100A4">
            <w:pPr>
              <w:numPr>
                <w:ilvl w:val="0"/>
                <w:numId w:val="11"/>
              </w:numPr>
              <w:ind w:left="492"/>
              <w:contextualSpacing/>
              <w:rPr>
                <w:color w:val="auto"/>
              </w:rPr>
            </w:pPr>
            <w:r w:rsidRPr="002100A4">
              <w:rPr>
                <w:color w:val="auto"/>
              </w:rPr>
              <w:t>Morphine</w:t>
            </w:r>
          </w:p>
        </w:tc>
      </w:tr>
    </w:tbl>
    <w:p w14:paraId="2C631A13" w14:textId="77777777" w:rsidR="002100A4" w:rsidRPr="002100A4" w:rsidRDefault="002100A4" w:rsidP="002100A4">
      <w:pPr>
        <w:spacing w:line="276" w:lineRule="auto"/>
        <w:rPr>
          <w:bCs/>
        </w:rPr>
      </w:pPr>
    </w:p>
    <w:p w14:paraId="70EC1B4C" w14:textId="77777777" w:rsidR="002100A4" w:rsidRPr="002100A4" w:rsidRDefault="002100A4" w:rsidP="002100A4">
      <w:pPr>
        <w:spacing w:line="276" w:lineRule="auto"/>
        <w:rPr>
          <w:b/>
          <w:u w:val="single"/>
        </w:rPr>
      </w:pPr>
      <w:r w:rsidRPr="002100A4">
        <w:rPr>
          <w:b/>
          <w:u w:val="single"/>
        </w:rPr>
        <w:t>PUVA</w:t>
      </w:r>
    </w:p>
    <w:p w14:paraId="2CE02EFE" w14:textId="77777777" w:rsidR="002100A4" w:rsidRPr="002100A4" w:rsidRDefault="002100A4" w:rsidP="002100A4">
      <w:pPr>
        <w:spacing w:line="276" w:lineRule="auto"/>
        <w:rPr>
          <w:bCs/>
        </w:rPr>
      </w:pPr>
      <w:proofErr w:type="gramStart"/>
      <w:r w:rsidRPr="002100A4">
        <w:rPr>
          <w:bCs/>
        </w:rPr>
        <w:t>As long as</w:t>
      </w:r>
      <w:proofErr w:type="gramEnd"/>
      <w:r w:rsidRPr="002100A4">
        <w:rPr>
          <w:bCs/>
        </w:rPr>
        <w:t xml:space="preserve"> MPD testing has been conducted to ensure an adequate dose of psoralen, the additional effect of any other photosensitising drug is unlikely to be an issue.  The main concerns with oral PUVA relate to potentially interacting drugs including theophylline, caffeine and warfarin.</w:t>
      </w:r>
    </w:p>
    <w:p w14:paraId="2F778DD5" w14:textId="77777777" w:rsidR="002100A4" w:rsidRPr="002100A4" w:rsidRDefault="002100A4" w:rsidP="002100A4">
      <w:pPr>
        <w:spacing w:line="276" w:lineRule="auto"/>
      </w:pPr>
    </w:p>
    <w:p w14:paraId="26959EB7" w14:textId="77777777" w:rsidR="006C545C" w:rsidRPr="006C545C" w:rsidRDefault="006C545C" w:rsidP="006C545C">
      <w:pPr>
        <w:rPr>
          <w:lang w:eastAsia="en-US"/>
        </w:rPr>
      </w:pPr>
    </w:p>
    <w:p w14:paraId="7771BA38" w14:textId="77777777" w:rsidR="00E956BE" w:rsidRDefault="00E956BE" w:rsidP="0021640D">
      <w:pPr>
        <w:rPr>
          <w:sz w:val="18"/>
          <w:szCs w:val="18"/>
        </w:rPr>
      </w:pPr>
    </w:p>
    <w:sectPr w:rsidR="00E956BE" w:rsidSect="00446F70">
      <w:headerReference w:type="default" r:id="rId10"/>
      <w:footerReference w:type="default" r:id="rId11"/>
      <w:headerReference w:type="first" r:id="rId12"/>
      <w:footerReference w:type="first" r:id="rId13"/>
      <w:pgSz w:w="11906" w:h="16838"/>
      <w:pgMar w:top="1559" w:right="1440" w:bottom="1021" w:left="1440"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C9CA" w14:textId="77777777" w:rsidR="00D91972" w:rsidRDefault="00D91972" w:rsidP="003A4B82">
      <w:r>
        <w:separator/>
      </w:r>
    </w:p>
    <w:p w14:paraId="5429FBE9" w14:textId="77777777" w:rsidR="00D91972" w:rsidRDefault="00D91972" w:rsidP="003A4B82"/>
    <w:p w14:paraId="69B1F5F4" w14:textId="77777777" w:rsidR="00D91972" w:rsidRDefault="00D91972" w:rsidP="003A4B82"/>
    <w:p w14:paraId="6B358973" w14:textId="77777777" w:rsidR="00D91972" w:rsidRDefault="00D91972" w:rsidP="003A4B82"/>
    <w:p w14:paraId="7FE6EB9F" w14:textId="77777777" w:rsidR="00D91972" w:rsidRDefault="00D91972"/>
  </w:endnote>
  <w:endnote w:type="continuationSeparator" w:id="0">
    <w:p w14:paraId="2BD47DED" w14:textId="77777777" w:rsidR="00D91972" w:rsidRDefault="00D91972" w:rsidP="003A4B82">
      <w:r>
        <w:continuationSeparator/>
      </w:r>
    </w:p>
    <w:p w14:paraId="11EFC25F" w14:textId="77777777" w:rsidR="00D91972" w:rsidRDefault="00D91972" w:rsidP="003A4B82"/>
    <w:p w14:paraId="36005EC0" w14:textId="77777777" w:rsidR="00D91972" w:rsidRDefault="00D91972" w:rsidP="003A4B82"/>
    <w:p w14:paraId="473FB3FB" w14:textId="77777777" w:rsidR="00D91972" w:rsidRDefault="00D91972" w:rsidP="003A4B82"/>
    <w:p w14:paraId="71E881EB" w14:textId="77777777" w:rsidR="00D91972" w:rsidRDefault="00D91972"/>
  </w:endnote>
  <w:endnote w:type="continuationNotice" w:id="1">
    <w:p w14:paraId="7531700C" w14:textId="77777777" w:rsidR="00D91972" w:rsidRDefault="00D91972"/>
    <w:p w14:paraId="04A46C15" w14:textId="77777777" w:rsidR="00D91972" w:rsidRDefault="00D91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2F97" w14:textId="488CC7A5" w:rsidR="00FF7344" w:rsidRPr="00532963" w:rsidRDefault="00482EA5" w:rsidP="00532963">
    <w:pPr>
      <w:pStyle w:val="Footer"/>
    </w:pPr>
    <w:r>
      <w:t>NSD610-00</w:t>
    </w:r>
    <w:r w:rsidR="002100A4">
      <w:t>8</w:t>
    </w:r>
    <w:r>
      <w:t>.0</w:t>
    </w:r>
    <w:r w:rsidR="002100A4">
      <w:t>7</w:t>
    </w:r>
    <w:r>
      <w:t xml:space="preserve"> </w:t>
    </w:r>
    <w:r w:rsidR="002100A4">
      <w:t xml:space="preserve">                                    </w:t>
    </w:r>
    <w:r>
      <w:t>V3</w:t>
    </w:r>
    <w:r w:rsidR="00532963" w:rsidRPr="003A4B82">
      <w:rPr>
        <w:rStyle w:val="IntenseEmphasis"/>
      </w:rPr>
      <w:tab/>
    </w:r>
    <w:r w:rsidR="00532963" w:rsidRPr="003A4B82">
      <w:rPr>
        <w:rStyle w:val="IntenseEmphasis"/>
      </w:rPr>
      <w:tab/>
      <w:t xml:space="preserve">Page </w:t>
    </w:r>
    <w:r w:rsidR="00532963" w:rsidRPr="003A4B82">
      <w:rPr>
        <w:rStyle w:val="IntenseEmphasis"/>
      </w:rPr>
      <w:fldChar w:fldCharType="begin"/>
    </w:r>
    <w:r w:rsidR="00532963" w:rsidRPr="003A4B82">
      <w:rPr>
        <w:rStyle w:val="IntenseEmphasis"/>
      </w:rPr>
      <w:instrText xml:space="preserve"> PAGE  \* Arabic  \* MERGEFORMAT </w:instrText>
    </w:r>
    <w:r w:rsidR="00532963" w:rsidRPr="003A4B82">
      <w:rPr>
        <w:rStyle w:val="IntenseEmphasis"/>
      </w:rPr>
      <w:fldChar w:fldCharType="separate"/>
    </w:r>
    <w:r w:rsidR="00532963">
      <w:rPr>
        <w:rStyle w:val="IntenseEmphasis"/>
      </w:rPr>
      <w:t>1</w:t>
    </w:r>
    <w:r w:rsidR="00532963" w:rsidRPr="003A4B82">
      <w:rPr>
        <w:rStyle w:val="IntenseEmphasis"/>
      </w:rPr>
      <w:fldChar w:fldCharType="end"/>
    </w:r>
    <w:r w:rsidR="00532963" w:rsidRPr="003A4B82">
      <w:rPr>
        <w:rStyle w:val="IntenseEmphasis"/>
      </w:rPr>
      <w:t xml:space="preserve"> of </w:t>
    </w:r>
    <w:r w:rsidR="00532963" w:rsidRPr="003A4B82">
      <w:rPr>
        <w:rStyle w:val="IntenseEmphasis"/>
      </w:rPr>
      <w:fldChar w:fldCharType="begin"/>
    </w:r>
    <w:r w:rsidR="00532963" w:rsidRPr="003A4B82">
      <w:rPr>
        <w:rStyle w:val="IntenseEmphasis"/>
      </w:rPr>
      <w:instrText xml:space="preserve"> NUMPAGES  \* Arabic  \* MERGEFORMAT </w:instrText>
    </w:r>
    <w:r w:rsidR="00532963" w:rsidRPr="003A4B82">
      <w:rPr>
        <w:rStyle w:val="IntenseEmphasis"/>
      </w:rPr>
      <w:fldChar w:fldCharType="separate"/>
    </w:r>
    <w:r w:rsidR="00532963">
      <w:rPr>
        <w:rStyle w:val="IntenseEmphasis"/>
      </w:rPr>
      <w:t>3</w:t>
    </w:r>
    <w:r w:rsidR="00532963" w:rsidRPr="003A4B82">
      <w:rPr>
        <w:rStyle w:val="IntenseEmphasis"/>
      </w:rPr>
      <w:fldChar w:fldCharType="end"/>
    </w:r>
  </w:p>
  <w:p w14:paraId="26DE055B" w14:textId="77777777" w:rsidR="00C737E4" w:rsidRDefault="00C737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E663" w14:textId="0D75E035" w:rsidR="00FF7344" w:rsidRPr="003A4B82" w:rsidRDefault="00BC120E" w:rsidP="003A4B82">
    <w:pPr>
      <w:pStyle w:val="Footer"/>
    </w:pPr>
    <w:r>
      <w:t>NSD610-00</w:t>
    </w:r>
    <w:r w:rsidR="002100A4">
      <w:t>8</w:t>
    </w:r>
    <w:r>
      <w:t>.0</w:t>
    </w:r>
    <w:r w:rsidR="002100A4">
      <w:t>7</w:t>
    </w:r>
    <w:r w:rsidR="00482EA5">
      <w:t xml:space="preserve"> </w:t>
    </w:r>
    <w:r w:rsidR="002100A4">
      <w:t xml:space="preserve">                                   </w:t>
    </w:r>
    <w:r w:rsidR="00482EA5">
      <w:t>V3</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54BD" w14:textId="77777777" w:rsidR="00D91972" w:rsidRDefault="00D91972" w:rsidP="003A4B82">
      <w:r>
        <w:separator/>
      </w:r>
    </w:p>
    <w:p w14:paraId="0AFAD54B" w14:textId="77777777" w:rsidR="00D91972" w:rsidRDefault="00D91972" w:rsidP="003A4B82"/>
    <w:p w14:paraId="53D550AC" w14:textId="77777777" w:rsidR="00D91972" w:rsidRDefault="00D91972" w:rsidP="003A4B82"/>
    <w:p w14:paraId="3984B9B1" w14:textId="77777777" w:rsidR="00D91972" w:rsidRDefault="00D91972" w:rsidP="003A4B82"/>
    <w:p w14:paraId="33D481A9" w14:textId="77777777" w:rsidR="00D91972" w:rsidRDefault="00D91972"/>
  </w:footnote>
  <w:footnote w:type="continuationSeparator" w:id="0">
    <w:p w14:paraId="7431AE90" w14:textId="77777777" w:rsidR="00D91972" w:rsidRDefault="00D91972" w:rsidP="003A4B82">
      <w:r>
        <w:continuationSeparator/>
      </w:r>
    </w:p>
    <w:p w14:paraId="3102D0A9" w14:textId="77777777" w:rsidR="00D91972" w:rsidRDefault="00D91972" w:rsidP="003A4B82"/>
    <w:p w14:paraId="540BB118" w14:textId="77777777" w:rsidR="00D91972" w:rsidRDefault="00D91972" w:rsidP="003A4B82"/>
    <w:p w14:paraId="5F95CD6B" w14:textId="77777777" w:rsidR="00D91972" w:rsidRDefault="00D91972" w:rsidP="003A4B82"/>
    <w:p w14:paraId="10F66AB3" w14:textId="77777777" w:rsidR="00D91972" w:rsidRDefault="00D91972"/>
  </w:footnote>
  <w:footnote w:type="continuationNotice" w:id="1">
    <w:p w14:paraId="2AC4A6E8" w14:textId="77777777" w:rsidR="00D91972" w:rsidRDefault="00D91972"/>
    <w:p w14:paraId="5543DEB5" w14:textId="77777777" w:rsidR="00D91972" w:rsidRDefault="00D91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FA80" w14:textId="77777777" w:rsidR="002100A4" w:rsidRPr="002100A4" w:rsidRDefault="002100A4" w:rsidP="002100A4">
    <w:pPr>
      <w:tabs>
        <w:tab w:val="center" w:pos="4513"/>
        <w:tab w:val="right" w:pos="9026"/>
      </w:tabs>
      <w:rPr>
        <w:rFonts w:eastAsiaTheme="minorHAnsi"/>
        <w:color w:val="004785"/>
        <w:lang w:eastAsia="en-US"/>
      </w:rPr>
    </w:pPr>
    <w:r w:rsidRPr="002100A4">
      <w:rPr>
        <w:rFonts w:eastAsiaTheme="minorHAnsi"/>
        <w:color w:val="004785"/>
        <w:lang w:eastAsia="en-US"/>
      </w:rPr>
      <w:t>Photonet National Managed Clinical Network</w:t>
    </w:r>
  </w:p>
  <w:p w14:paraId="32384AD5" w14:textId="17E11B9F" w:rsidR="00382E4B" w:rsidRPr="002100A4" w:rsidRDefault="002100A4" w:rsidP="002100A4">
    <w:pPr>
      <w:tabs>
        <w:tab w:val="center" w:pos="4513"/>
        <w:tab w:val="right" w:pos="9026"/>
      </w:tabs>
      <w:rPr>
        <w:rStyle w:val="Emphasis"/>
        <w:rFonts w:eastAsiaTheme="minorHAnsi"/>
        <w:b/>
        <w:color w:val="004785"/>
        <w:lang w:eastAsia="en-US"/>
      </w:rPr>
    </w:pPr>
    <w:r w:rsidRPr="002100A4">
      <w:rPr>
        <w:rFonts w:eastAsiaTheme="minorHAnsi"/>
        <w:b/>
        <w:bCs/>
        <w:color w:val="004785"/>
        <w:lang w:eastAsia="en-US"/>
      </w:rPr>
      <w:t>Photosensitising Drugs and Phototherapy Guidance*</w:t>
    </w:r>
  </w:p>
  <w:p w14:paraId="64A5C5BC" w14:textId="77777777" w:rsidR="00C737E4" w:rsidRDefault="00C737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66E" w14:textId="64CB1124" w:rsidR="00AE514B" w:rsidRDefault="00535327" w:rsidP="003A4B82">
    <w:pPr>
      <w:pStyle w:val="Header"/>
    </w:pPr>
    <w:r>
      <w:rPr>
        <w:noProof/>
      </w:rPr>
      <mc:AlternateContent>
        <mc:Choice Requires="wps">
          <w:drawing>
            <wp:anchor distT="0" distB="0" distL="114300" distR="114300" simplePos="0" relativeHeight="251657216" behindDoc="0" locked="0" layoutInCell="1" allowOverlap="1" wp14:anchorId="25137AF5" wp14:editId="7E0CEBA3">
              <wp:simplePos x="0" y="0"/>
              <wp:positionH relativeFrom="column">
                <wp:posOffset>-1990725</wp:posOffset>
              </wp:positionH>
              <wp:positionV relativeFrom="paragraph">
                <wp:posOffset>-1880529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DA9E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48.05pt;width:760.95pt;height:312.7pt;rotation:-133607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" adj="4320,10364" fillcolor="#004785" stroked="f" strokeweight="2pt"/>
          </w:pict>
        </mc:Fallback>
      </mc:AlternateContent>
    </w:r>
  </w:p>
  <w:p w14:paraId="098B9EBB" w14:textId="77777777" w:rsidR="00FF7344" w:rsidRDefault="00FF7344" w:rsidP="003A4B82"/>
  <w:p w14:paraId="08E04F55" w14:textId="77777777" w:rsidR="00FF7344" w:rsidRDefault="00FF7344" w:rsidP="003A4B82"/>
  <w:p w14:paraId="533EA8C0" w14:textId="77777777" w:rsidR="00FF7344" w:rsidRDefault="00FF7344" w:rsidP="003A4B82"/>
  <w:p w14:paraId="0927B25F" w14:textId="77777777" w:rsidR="00C737E4" w:rsidRDefault="00C73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AFB"/>
    <w:multiLevelType w:val="hybridMultilevel"/>
    <w:tmpl w:val="D3F4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ECB"/>
    <w:multiLevelType w:val="hybridMultilevel"/>
    <w:tmpl w:val="7E8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5F16"/>
    <w:multiLevelType w:val="hybridMultilevel"/>
    <w:tmpl w:val="4F52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41F47"/>
    <w:multiLevelType w:val="hybridMultilevel"/>
    <w:tmpl w:val="3804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631F2"/>
    <w:multiLevelType w:val="hybridMultilevel"/>
    <w:tmpl w:val="766C7040"/>
    <w:lvl w:ilvl="0" w:tplc="08090001">
      <w:start w:val="1"/>
      <w:numFmt w:val="bullet"/>
      <w:lvlText w:val=""/>
      <w:lvlJc w:val="left"/>
      <w:pPr>
        <w:ind w:left="620" w:hanging="360"/>
      </w:pPr>
      <w:rPr>
        <w:rFonts w:ascii="Symbol" w:hAnsi="Symbol" w:hint="default"/>
      </w:rPr>
    </w:lvl>
    <w:lvl w:ilvl="1" w:tplc="08090003" w:tentative="1">
      <w:start w:val="1"/>
      <w:numFmt w:val="bullet"/>
      <w:lvlText w:val="o"/>
      <w:lvlJc w:val="left"/>
      <w:pPr>
        <w:ind w:left="1340" w:hanging="360"/>
      </w:pPr>
      <w:rPr>
        <w:rFonts w:ascii="Courier New" w:hAnsi="Courier New" w:cs="Courier New" w:hint="default"/>
      </w:rPr>
    </w:lvl>
    <w:lvl w:ilvl="2" w:tplc="08090005" w:tentative="1">
      <w:start w:val="1"/>
      <w:numFmt w:val="bullet"/>
      <w:lvlText w:val=""/>
      <w:lvlJc w:val="left"/>
      <w:pPr>
        <w:ind w:left="2060" w:hanging="360"/>
      </w:pPr>
      <w:rPr>
        <w:rFonts w:ascii="Wingdings" w:hAnsi="Wingdings" w:hint="default"/>
      </w:rPr>
    </w:lvl>
    <w:lvl w:ilvl="3" w:tplc="08090001" w:tentative="1">
      <w:start w:val="1"/>
      <w:numFmt w:val="bullet"/>
      <w:lvlText w:val=""/>
      <w:lvlJc w:val="left"/>
      <w:pPr>
        <w:ind w:left="2780" w:hanging="360"/>
      </w:pPr>
      <w:rPr>
        <w:rFonts w:ascii="Symbol" w:hAnsi="Symbol" w:hint="default"/>
      </w:rPr>
    </w:lvl>
    <w:lvl w:ilvl="4" w:tplc="08090003" w:tentative="1">
      <w:start w:val="1"/>
      <w:numFmt w:val="bullet"/>
      <w:lvlText w:val="o"/>
      <w:lvlJc w:val="left"/>
      <w:pPr>
        <w:ind w:left="3500" w:hanging="360"/>
      </w:pPr>
      <w:rPr>
        <w:rFonts w:ascii="Courier New" w:hAnsi="Courier New" w:cs="Courier New" w:hint="default"/>
      </w:rPr>
    </w:lvl>
    <w:lvl w:ilvl="5" w:tplc="08090005" w:tentative="1">
      <w:start w:val="1"/>
      <w:numFmt w:val="bullet"/>
      <w:lvlText w:val=""/>
      <w:lvlJc w:val="left"/>
      <w:pPr>
        <w:ind w:left="4220" w:hanging="360"/>
      </w:pPr>
      <w:rPr>
        <w:rFonts w:ascii="Wingdings" w:hAnsi="Wingdings" w:hint="default"/>
      </w:rPr>
    </w:lvl>
    <w:lvl w:ilvl="6" w:tplc="08090001" w:tentative="1">
      <w:start w:val="1"/>
      <w:numFmt w:val="bullet"/>
      <w:lvlText w:val=""/>
      <w:lvlJc w:val="left"/>
      <w:pPr>
        <w:ind w:left="4940" w:hanging="360"/>
      </w:pPr>
      <w:rPr>
        <w:rFonts w:ascii="Symbol" w:hAnsi="Symbol" w:hint="default"/>
      </w:rPr>
    </w:lvl>
    <w:lvl w:ilvl="7" w:tplc="08090003" w:tentative="1">
      <w:start w:val="1"/>
      <w:numFmt w:val="bullet"/>
      <w:lvlText w:val="o"/>
      <w:lvlJc w:val="left"/>
      <w:pPr>
        <w:ind w:left="5660" w:hanging="360"/>
      </w:pPr>
      <w:rPr>
        <w:rFonts w:ascii="Courier New" w:hAnsi="Courier New" w:cs="Courier New" w:hint="default"/>
      </w:rPr>
    </w:lvl>
    <w:lvl w:ilvl="8" w:tplc="08090005" w:tentative="1">
      <w:start w:val="1"/>
      <w:numFmt w:val="bullet"/>
      <w:lvlText w:val=""/>
      <w:lvlJc w:val="left"/>
      <w:pPr>
        <w:ind w:left="6380" w:hanging="360"/>
      </w:pPr>
      <w:rPr>
        <w:rFonts w:ascii="Wingdings" w:hAnsi="Wingdings" w:hint="default"/>
      </w:rPr>
    </w:lvl>
  </w:abstractNum>
  <w:abstractNum w:abstractNumId="6" w15:restartNumberingAfterBreak="0">
    <w:nsid w:val="3EF44F81"/>
    <w:multiLevelType w:val="hybridMultilevel"/>
    <w:tmpl w:val="56B015CE"/>
    <w:lvl w:ilvl="0" w:tplc="C6C4F038">
      <w:start w:val="1"/>
      <w:numFmt w:val="lowerLetter"/>
      <w:lvlText w:val="%1)"/>
      <w:lvlJc w:val="left"/>
      <w:pPr>
        <w:ind w:left="720" w:hanging="360"/>
      </w:pPr>
      <w:rPr>
        <w:rFonts w:hint="default"/>
        <w:b/>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475DC8"/>
    <w:multiLevelType w:val="hybridMultilevel"/>
    <w:tmpl w:val="279E60DC"/>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CC7153"/>
    <w:multiLevelType w:val="hybridMultilevel"/>
    <w:tmpl w:val="A4C47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A532CF"/>
    <w:multiLevelType w:val="hybridMultilevel"/>
    <w:tmpl w:val="F488A8EE"/>
    <w:lvl w:ilvl="0" w:tplc="2A2A0E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5E62B5"/>
    <w:multiLevelType w:val="hybridMultilevel"/>
    <w:tmpl w:val="F8B2697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141167886">
    <w:abstractNumId w:val="4"/>
  </w:num>
  <w:num w:numId="2" w16cid:durableId="955016752">
    <w:abstractNumId w:val="3"/>
  </w:num>
  <w:num w:numId="3" w16cid:durableId="1167094294">
    <w:abstractNumId w:val="9"/>
  </w:num>
  <w:num w:numId="4" w16cid:durableId="2093971179">
    <w:abstractNumId w:val="6"/>
  </w:num>
  <w:num w:numId="5" w16cid:durableId="680930716">
    <w:abstractNumId w:val="10"/>
  </w:num>
  <w:num w:numId="6" w16cid:durableId="281230500">
    <w:abstractNumId w:val="7"/>
  </w:num>
  <w:num w:numId="7" w16cid:durableId="1670131741">
    <w:abstractNumId w:val="1"/>
  </w:num>
  <w:num w:numId="8" w16cid:durableId="1153254386">
    <w:abstractNumId w:val="0"/>
  </w:num>
  <w:num w:numId="9" w16cid:durableId="967515723">
    <w:abstractNumId w:val="8"/>
  </w:num>
  <w:num w:numId="10" w16cid:durableId="1651639380">
    <w:abstractNumId w:val="5"/>
  </w:num>
  <w:num w:numId="11" w16cid:durableId="16034928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038C3"/>
    <w:rsid w:val="00004B6F"/>
    <w:rsid w:val="000177A8"/>
    <w:rsid w:val="00025B02"/>
    <w:rsid w:val="00032C55"/>
    <w:rsid w:val="00036824"/>
    <w:rsid w:val="0003731A"/>
    <w:rsid w:val="000440D1"/>
    <w:rsid w:val="00050EA6"/>
    <w:rsid w:val="0005522C"/>
    <w:rsid w:val="0005672E"/>
    <w:rsid w:val="00067432"/>
    <w:rsid w:val="000741E9"/>
    <w:rsid w:val="00082B63"/>
    <w:rsid w:val="00094FC9"/>
    <w:rsid w:val="000B4DF2"/>
    <w:rsid w:val="000C3777"/>
    <w:rsid w:val="000D0D38"/>
    <w:rsid w:val="00102E93"/>
    <w:rsid w:val="001166B5"/>
    <w:rsid w:val="00134832"/>
    <w:rsid w:val="001478E0"/>
    <w:rsid w:val="00162C2C"/>
    <w:rsid w:val="00170839"/>
    <w:rsid w:val="0019048A"/>
    <w:rsid w:val="0019533B"/>
    <w:rsid w:val="001A4774"/>
    <w:rsid w:val="001A487F"/>
    <w:rsid w:val="001A71ED"/>
    <w:rsid w:val="001B4068"/>
    <w:rsid w:val="001C3967"/>
    <w:rsid w:val="001F6C59"/>
    <w:rsid w:val="0020605E"/>
    <w:rsid w:val="002100A4"/>
    <w:rsid w:val="0021640D"/>
    <w:rsid w:val="00221AEE"/>
    <w:rsid w:val="00225BE1"/>
    <w:rsid w:val="0023787D"/>
    <w:rsid w:val="00243032"/>
    <w:rsid w:val="00245111"/>
    <w:rsid w:val="00246940"/>
    <w:rsid w:val="00252BEE"/>
    <w:rsid w:val="00265A8D"/>
    <w:rsid w:val="00266F14"/>
    <w:rsid w:val="00282FA1"/>
    <w:rsid w:val="00290125"/>
    <w:rsid w:val="00295F59"/>
    <w:rsid w:val="002B31E6"/>
    <w:rsid w:val="002D3B1C"/>
    <w:rsid w:val="003259EB"/>
    <w:rsid w:val="003519F4"/>
    <w:rsid w:val="0036098E"/>
    <w:rsid w:val="00371997"/>
    <w:rsid w:val="00382E4B"/>
    <w:rsid w:val="00384B46"/>
    <w:rsid w:val="00392132"/>
    <w:rsid w:val="003A12CC"/>
    <w:rsid w:val="003A2C06"/>
    <w:rsid w:val="003A4B82"/>
    <w:rsid w:val="003B5EC3"/>
    <w:rsid w:val="003D4CA1"/>
    <w:rsid w:val="003E3F11"/>
    <w:rsid w:val="003F5E0D"/>
    <w:rsid w:val="00414C9C"/>
    <w:rsid w:val="00417CE0"/>
    <w:rsid w:val="00446F70"/>
    <w:rsid w:val="00447893"/>
    <w:rsid w:val="00457071"/>
    <w:rsid w:val="00472D90"/>
    <w:rsid w:val="00482EA5"/>
    <w:rsid w:val="004918F3"/>
    <w:rsid w:val="00497C2A"/>
    <w:rsid w:val="004A4F18"/>
    <w:rsid w:val="004C48A4"/>
    <w:rsid w:val="004E01BD"/>
    <w:rsid w:val="00532963"/>
    <w:rsid w:val="00535327"/>
    <w:rsid w:val="005526F3"/>
    <w:rsid w:val="005A1EDC"/>
    <w:rsid w:val="005A3C7F"/>
    <w:rsid w:val="005C3338"/>
    <w:rsid w:val="005C7FDD"/>
    <w:rsid w:val="005E664B"/>
    <w:rsid w:val="005F44B0"/>
    <w:rsid w:val="0062327F"/>
    <w:rsid w:val="00634E88"/>
    <w:rsid w:val="00641E11"/>
    <w:rsid w:val="006610D7"/>
    <w:rsid w:val="006827B9"/>
    <w:rsid w:val="00682E4F"/>
    <w:rsid w:val="006843A9"/>
    <w:rsid w:val="006A0622"/>
    <w:rsid w:val="006C545C"/>
    <w:rsid w:val="006F0B75"/>
    <w:rsid w:val="007779F8"/>
    <w:rsid w:val="00780F26"/>
    <w:rsid w:val="007D0D7E"/>
    <w:rsid w:val="008076BF"/>
    <w:rsid w:val="00812923"/>
    <w:rsid w:val="008737A7"/>
    <w:rsid w:val="00882826"/>
    <w:rsid w:val="008830A7"/>
    <w:rsid w:val="00887584"/>
    <w:rsid w:val="008B66AB"/>
    <w:rsid w:val="008B71E2"/>
    <w:rsid w:val="008D1CE1"/>
    <w:rsid w:val="008D4A72"/>
    <w:rsid w:val="008E4062"/>
    <w:rsid w:val="008E5211"/>
    <w:rsid w:val="008F59F7"/>
    <w:rsid w:val="00947203"/>
    <w:rsid w:val="009477C9"/>
    <w:rsid w:val="0094788F"/>
    <w:rsid w:val="00965CCC"/>
    <w:rsid w:val="00970490"/>
    <w:rsid w:val="00971EA3"/>
    <w:rsid w:val="009945FD"/>
    <w:rsid w:val="009B6AC6"/>
    <w:rsid w:val="009C1358"/>
    <w:rsid w:val="009D1AC6"/>
    <w:rsid w:val="009D4F8F"/>
    <w:rsid w:val="009F0899"/>
    <w:rsid w:val="00A22622"/>
    <w:rsid w:val="00A306FA"/>
    <w:rsid w:val="00A61504"/>
    <w:rsid w:val="00A70944"/>
    <w:rsid w:val="00A83829"/>
    <w:rsid w:val="00AA0C8F"/>
    <w:rsid w:val="00AA4213"/>
    <w:rsid w:val="00AB4905"/>
    <w:rsid w:val="00AC78E1"/>
    <w:rsid w:val="00AE514B"/>
    <w:rsid w:val="00B049BA"/>
    <w:rsid w:val="00B3664F"/>
    <w:rsid w:val="00B54FAC"/>
    <w:rsid w:val="00B61AD9"/>
    <w:rsid w:val="00B6404B"/>
    <w:rsid w:val="00BA372B"/>
    <w:rsid w:val="00BA5579"/>
    <w:rsid w:val="00BC039A"/>
    <w:rsid w:val="00BC120E"/>
    <w:rsid w:val="00BF7474"/>
    <w:rsid w:val="00C10D8B"/>
    <w:rsid w:val="00C36CE7"/>
    <w:rsid w:val="00C63425"/>
    <w:rsid w:val="00C737E4"/>
    <w:rsid w:val="00C81BE9"/>
    <w:rsid w:val="00C95390"/>
    <w:rsid w:val="00CB0B9B"/>
    <w:rsid w:val="00CB57B7"/>
    <w:rsid w:val="00CC0F73"/>
    <w:rsid w:val="00CC1230"/>
    <w:rsid w:val="00CF4AFA"/>
    <w:rsid w:val="00D273EE"/>
    <w:rsid w:val="00D30FDA"/>
    <w:rsid w:val="00D451C0"/>
    <w:rsid w:val="00D60669"/>
    <w:rsid w:val="00D74871"/>
    <w:rsid w:val="00D91972"/>
    <w:rsid w:val="00DA4B91"/>
    <w:rsid w:val="00DD1A99"/>
    <w:rsid w:val="00DE078E"/>
    <w:rsid w:val="00E05122"/>
    <w:rsid w:val="00E4686A"/>
    <w:rsid w:val="00E65567"/>
    <w:rsid w:val="00E72699"/>
    <w:rsid w:val="00E75020"/>
    <w:rsid w:val="00E956BE"/>
    <w:rsid w:val="00EC23F5"/>
    <w:rsid w:val="00EE2B12"/>
    <w:rsid w:val="00EE4195"/>
    <w:rsid w:val="00EE4428"/>
    <w:rsid w:val="00F277C7"/>
    <w:rsid w:val="00F41042"/>
    <w:rsid w:val="00F4406E"/>
    <w:rsid w:val="00F53303"/>
    <w:rsid w:val="00F670FF"/>
    <w:rsid w:val="00F7376B"/>
    <w:rsid w:val="00F81525"/>
    <w:rsid w:val="00FA31BC"/>
    <w:rsid w:val="00FB3B4D"/>
    <w:rsid w:val="00FB5AE5"/>
    <w:rsid w:val="00FC0550"/>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paragraph" w:styleId="NoSpacing">
    <w:name w:val="No Spacing"/>
    <w:uiPriority w:val="1"/>
    <w:qFormat/>
    <w:rsid w:val="000D0D38"/>
    <w:pPr>
      <w:spacing w:after="0" w:line="240" w:lineRule="auto"/>
    </w:pPr>
  </w:style>
  <w:style w:type="paragraph" w:customStyle="1" w:styleId="paragraph">
    <w:name w:val="paragraph"/>
    <w:basedOn w:val="Normal"/>
    <w:rsid w:val="00947203"/>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947203"/>
  </w:style>
  <w:style w:type="character" w:customStyle="1" w:styleId="eop">
    <w:name w:val="eop"/>
    <w:basedOn w:val="DefaultParagraphFont"/>
    <w:rsid w:val="00947203"/>
  </w:style>
  <w:style w:type="character" w:customStyle="1" w:styleId="scxw10629214">
    <w:name w:val="scxw10629214"/>
    <w:basedOn w:val="DefaultParagraphFont"/>
    <w:rsid w:val="0094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313680">
      <w:bodyDiv w:val="1"/>
      <w:marLeft w:val="0"/>
      <w:marRight w:val="0"/>
      <w:marTop w:val="0"/>
      <w:marBottom w:val="0"/>
      <w:divBdr>
        <w:top w:val="none" w:sz="0" w:space="0" w:color="auto"/>
        <w:left w:val="none" w:sz="0" w:space="0" w:color="auto"/>
        <w:bottom w:val="none" w:sz="0" w:space="0" w:color="auto"/>
        <w:right w:val="none" w:sz="0" w:space="0" w:color="auto"/>
      </w:divBdr>
      <w:divsChild>
        <w:div w:id="1691298508">
          <w:marLeft w:val="0"/>
          <w:marRight w:val="0"/>
          <w:marTop w:val="0"/>
          <w:marBottom w:val="0"/>
          <w:divBdr>
            <w:top w:val="none" w:sz="0" w:space="0" w:color="auto"/>
            <w:left w:val="none" w:sz="0" w:space="0" w:color="auto"/>
            <w:bottom w:val="none" w:sz="0" w:space="0" w:color="auto"/>
            <w:right w:val="none" w:sz="0" w:space="0" w:color="auto"/>
          </w:divBdr>
          <w:divsChild>
            <w:div w:id="797841221">
              <w:marLeft w:val="0"/>
              <w:marRight w:val="0"/>
              <w:marTop w:val="0"/>
              <w:marBottom w:val="0"/>
              <w:divBdr>
                <w:top w:val="none" w:sz="0" w:space="0" w:color="auto"/>
                <w:left w:val="none" w:sz="0" w:space="0" w:color="auto"/>
                <w:bottom w:val="none" w:sz="0" w:space="0" w:color="auto"/>
                <w:right w:val="none" w:sz="0" w:space="0" w:color="auto"/>
              </w:divBdr>
            </w:div>
            <w:div w:id="1338802120">
              <w:marLeft w:val="0"/>
              <w:marRight w:val="0"/>
              <w:marTop w:val="0"/>
              <w:marBottom w:val="0"/>
              <w:divBdr>
                <w:top w:val="none" w:sz="0" w:space="0" w:color="auto"/>
                <w:left w:val="none" w:sz="0" w:space="0" w:color="auto"/>
                <w:bottom w:val="none" w:sz="0" w:space="0" w:color="auto"/>
                <w:right w:val="none" w:sz="0" w:space="0" w:color="auto"/>
              </w:divBdr>
            </w:div>
            <w:div w:id="1465928748">
              <w:marLeft w:val="0"/>
              <w:marRight w:val="0"/>
              <w:marTop w:val="0"/>
              <w:marBottom w:val="0"/>
              <w:divBdr>
                <w:top w:val="none" w:sz="0" w:space="0" w:color="auto"/>
                <w:left w:val="none" w:sz="0" w:space="0" w:color="auto"/>
                <w:bottom w:val="none" w:sz="0" w:space="0" w:color="auto"/>
                <w:right w:val="none" w:sz="0" w:space="0" w:color="auto"/>
              </w:divBdr>
            </w:div>
            <w:div w:id="739795671">
              <w:marLeft w:val="0"/>
              <w:marRight w:val="0"/>
              <w:marTop w:val="0"/>
              <w:marBottom w:val="0"/>
              <w:divBdr>
                <w:top w:val="none" w:sz="0" w:space="0" w:color="auto"/>
                <w:left w:val="none" w:sz="0" w:space="0" w:color="auto"/>
                <w:bottom w:val="none" w:sz="0" w:space="0" w:color="auto"/>
                <w:right w:val="none" w:sz="0" w:space="0" w:color="auto"/>
              </w:divBdr>
            </w:div>
            <w:div w:id="1753619093">
              <w:marLeft w:val="0"/>
              <w:marRight w:val="0"/>
              <w:marTop w:val="0"/>
              <w:marBottom w:val="0"/>
              <w:divBdr>
                <w:top w:val="none" w:sz="0" w:space="0" w:color="auto"/>
                <w:left w:val="none" w:sz="0" w:space="0" w:color="auto"/>
                <w:bottom w:val="none" w:sz="0" w:space="0" w:color="auto"/>
                <w:right w:val="none" w:sz="0" w:space="0" w:color="auto"/>
              </w:divBdr>
            </w:div>
            <w:div w:id="1276668882">
              <w:marLeft w:val="0"/>
              <w:marRight w:val="0"/>
              <w:marTop w:val="0"/>
              <w:marBottom w:val="0"/>
              <w:divBdr>
                <w:top w:val="none" w:sz="0" w:space="0" w:color="auto"/>
                <w:left w:val="none" w:sz="0" w:space="0" w:color="auto"/>
                <w:bottom w:val="none" w:sz="0" w:space="0" w:color="auto"/>
                <w:right w:val="none" w:sz="0" w:space="0" w:color="auto"/>
              </w:divBdr>
            </w:div>
            <w:div w:id="27267321">
              <w:marLeft w:val="0"/>
              <w:marRight w:val="0"/>
              <w:marTop w:val="0"/>
              <w:marBottom w:val="0"/>
              <w:divBdr>
                <w:top w:val="none" w:sz="0" w:space="0" w:color="auto"/>
                <w:left w:val="none" w:sz="0" w:space="0" w:color="auto"/>
                <w:bottom w:val="none" w:sz="0" w:space="0" w:color="auto"/>
                <w:right w:val="none" w:sz="0" w:space="0" w:color="auto"/>
              </w:divBdr>
            </w:div>
            <w:div w:id="536703566">
              <w:marLeft w:val="0"/>
              <w:marRight w:val="0"/>
              <w:marTop w:val="0"/>
              <w:marBottom w:val="0"/>
              <w:divBdr>
                <w:top w:val="none" w:sz="0" w:space="0" w:color="auto"/>
                <w:left w:val="none" w:sz="0" w:space="0" w:color="auto"/>
                <w:bottom w:val="none" w:sz="0" w:space="0" w:color="auto"/>
                <w:right w:val="none" w:sz="0" w:space="0" w:color="auto"/>
              </w:divBdr>
            </w:div>
            <w:div w:id="905144153">
              <w:marLeft w:val="0"/>
              <w:marRight w:val="0"/>
              <w:marTop w:val="0"/>
              <w:marBottom w:val="0"/>
              <w:divBdr>
                <w:top w:val="none" w:sz="0" w:space="0" w:color="auto"/>
                <w:left w:val="none" w:sz="0" w:space="0" w:color="auto"/>
                <w:bottom w:val="none" w:sz="0" w:space="0" w:color="auto"/>
                <w:right w:val="none" w:sz="0" w:space="0" w:color="auto"/>
              </w:divBdr>
            </w:div>
            <w:div w:id="1563758172">
              <w:marLeft w:val="0"/>
              <w:marRight w:val="0"/>
              <w:marTop w:val="0"/>
              <w:marBottom w:val="0"/>
              <w:divBdr>
                <w:top w:val="none" w:sz="0" w:space="0" w:color="auto"/>
                <w:left w:val="none" w:sz="0" w:space="0" w:color="auto"/>
                <w:bottom w:val="none" w:sz="0" w:space="0" w:color="auto"/>
                <w:right w:val="none" w:sz="0" w:space="0" w:color="auto"/>
              </w:divBdr>
            </w:div>
            <w:div w:id="1562985516">
              <w:marLeft w:val="0"/>
              <w:marRight w:val="0"/>
              <w:marTop w:val="0"/>
              <w:marBottom w:val="0"/>
              <w:divBdr>
                <w:top w:val="none" w:sz="0" w:space="0" w:color="auto"/>
                <w:left w:val="none" w:sz="0" w:space="0" w:color="auto"/>
                <w:bottom w:val="none" w:sz="0" w:space="0" w:color="auto"/>
                <w:right w:val="none" w:sz="0" w:space="0" w:color="auto"/>
              </w:divBdr>
            </w:div>
          </w:divsChild>
        </w:div>
        <w:div w:id="1209413020">
          <w:marLeft w:val="0"/>
          <w:marRight w:val="0"/>
          <w:marTop w:val="0"/>
          <w:marBottom w:val="0"/>
          <w:divBdr>
            <w:top w:val="none" w:sz="0" w:space="0" w:color="auto"/>
            <w:left w:val="none" w:sz="0" w:space="0" w:color="auto"/>
            <w:bottom w:val="none" w:sz="0" w:space="0" w:color="auto"/>
            <w:right w:val="none" w:sz="0" w:space="0" w:color="auto"/>
          </w:divBdr>
          <w:divsChild>
            <w:div w:id="1769111183">
              <w:marLeft w:val="0"/>
              <w:marRight w:val="0"/>
              <w:marTop w:val="0"/>
              <w:marBottom w:val="0"/>
              <w:divBdr>
                <w:top w:val="none" w:sz="0" w:space="0" w:color="auto"/>
                <w:left w:val="none" w:sz="0" w:space="0" w:color="auto"/>
                <w:bottom w:val="none" w:sz="0" w:space="0" w:color="auto"/>
                <w:right w:val="none" w:sz="0" w:space="0" w:color="auto"/>
              </w:divBdr>
            </w:div>
            <w:div w:id="1660110203">
              <w:marLeft w:val="0"/>
              <w:marRight w:val="0"/>
              <w:marTop w:val="0"/>
              <w:marBottom w:val="0"/>
              <w:divBdr>
                <w:top w:val="none" w:sz="0" w:space="0" w:color="auto"/>
                <w:left w:val="none" w:sz="0" w:space="0" w:color="auto"/>
                <w:bottom w:val="none" w:sz="0" w:space="0" w:color="auto"/>
                <w:right w:val="none" w:sz="0" w:space="0" w:color="auto"/>
              </w:divBdr>
            </w:div>
            <w:div w:id="199636826">
              <w:marLeft w:val="0"/>
              <w:marRight w:val="0"/>
              <w:marTop w:val="0"/>
              <w:marBottom w:val="0"/>
              <w:divBdr>
                <w:top w:val="none" w:sz="0" w:space="0" w:color="auto"/>
                <w:left w:val="none" w:sz="0" w:space="0" w:color="auto"/>
                <w:bottom w:val="none" w:sz="0" w:space="0" w:color="auto"/>
                <w:right w:val="none" w:sz="0" w:space="0" w:color="auto"/>
              </w:divBdr>
            </w:div>
            <w:div w:id="1072506140">
              <w:marLeft w:val="0"/>
              <w:marRight w:val="0"/>
              <w:marTop w:val="0"/>
              <w:marBottom w:val="0"/>
              <w:divBdr>
                <w:top w:val="none" w:sz="0" w:space="0" w:color="auto"/>
                <w:left w:val="none" w:sz="0" w:space="0" w:color="auto"/>
                <w:bottom w:val="none" w:sz="0" w:space="0" w:color="auto"/>
                <w:right w:val="none" w:sz="0" w:space="0" w:color="auto"/>
              </w:divBdr>
            </w:div>
            <w:div w:id="910777316">
              <w:marLeft w:val="0"/>
              <w:marRight w:val="0"/>
              <w:marTop w:val="0"/>
              <w:marBottom w:val="0"/>
              <w:divBdr>
                <w:top w:val="none" w:sz="0" w:space="0" w:color="auto"/>
                <w:left w:val="none" w:sz="0" w:space="0" w:color="auto"/>
                <w:bottom w:val="none" w:sz="0" w:space="0" w:color="auto"/>
                <w:right w:val="none" w:sz="0" w:space="0" w:color="auto"/>
              </w:divBdr>
            </w:div>
            <w:div w:id="1550409742">
              <w:marLeft w:val="0"/>
              <w:marRight w:val="0"/>
              <w:marTop w:val="0"/>
              <w:marBottom w:val="0"/>
              <w:divBdr>
                <w:top w:val="none" w:sz="0" w:space="0" w:color="auto"/>
                <w:left w:val="none" w:sz="0" w:space="0" w:color="auto"/>
                <w:bottom w:val="none" w:sz="0" w:space="0" w:color="auto"/>
                <w:right w:val="none" w:sz="0" w:space="0" w:color="auto"/>
              </w:divBdr>
            </w:div>
            <w:div w:id="318847998">
              <w:marLeft w:val="0"/>
              <w:marRight w:val="0"/>
              <w:marTop w:val="0"/>
              <w:marBottom w:val="0"/>
              <w:divBdr>
                <w:top w:val="none" w:sz="0" w:space="0" w:color="auto"/>
                <w:left w:val="none" w:sz="0" w:space="0" w:color="auto"/>
                <w:bottom w:val="none" w:sz="0" w:space="0" w:color="auto"/>
                <w:right w:val="none" w:sz="0" w:space="0" w:color="auto"/>
              </w:divBdr>
            </w:div>
            <w:div w:id="696271208">
              <w:marLeft w:val="0"/>
              <w:marRight w:val="0"/>
              <w:marTop w:val="0"/>
              <w:marBottom w:val="0"/>
              <w:divBdr>
                <w:top w:val="none" w:sz="0" w:space="0" w:color="auto"/>
                <w:left w:val="none" w:sz="0" w:space="0" w:color="auto"/>
                <w:bottom w:val="none" w:sz="0" w:space="0" w:color="auto"/>
                <w:right w:val="none" w:sz="0" w:space="0" w:color="auto"/>
              </w:divBdr>
            </w:div>
            <w:div w:id="1400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Aneta Gorczynski</cp:lastModifiedBy>
  <cp:revision>4</cp:revision>
  <cp:lastPrinted>2024-07-18T11:57:00Z</cp:lastPrinted>
  <dcterms:created xsi:type="dcterms:W3CDTF">2024-06-21T13:01:00Z</dcterms:created>
  <dcterms:modified xsi:type="dcterms:W3CDTF">2024-09-11T09:58:00Z</dcterms:modified>
</cp:coreProperties>
</file>