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F59" w:rsidRDefault="00371997" w:rsidP="00CE330E">
      <w:r>
        <w:rPr>
          <w:noProof/>
        </w:rPr>
        <w:drawing>
          <wp:anchor distT="0" distB="0" distL="114300" distR="114300" simplePos="0" relativeHeight="251659264" behindDoc="0" locked="0" layoutInCell="1" allowOverlap="1" wp14:anchorId="06ACA252" wp14:editId="363D2C5F">
            <wp:simplePos x="0" y="0"/>
            <wp:positionH relativeFrom="column">
              <wp:posOffset>4898390</wp:posOffset>
            </wp:positionH>
            <wp:positionV relativeFrom="page">
              <wp:posOffset>327467</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p>
    <w:p w:rsidR="00295F59" w:rsidRDefault="00295F59" w:rsidP="00CE330E"/>
    <w:p w:rsidR="00EC23F5" w:rsidRPr="00E72699" w:rsidRDefault="00C018AA" w:rsidP="00E60FB8">
      <w:pPr>
        <w:pStyle w:val="Title"/>
      </w:pPr>
      <w:r w:rsidRPr="00C018AA">
        <w:rPr>
          <w:noProof/>
        </w:rPr>
        <w:drawing>
          <wp:inline distT="0" distB="0" distL="0" distR="0" wp14:anchorId="316769CD" wp14:editId="5959A927">
            <wp:extent cx="1005840" cy="603250"/>
            <wp:effectExtent l="0" t="0" r="3810" b="6350"/>
            <wp:docPr id="2" name="Picture 2" descr="PELi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ELiCa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603250"/>
                    </a:xfrm>
                    <a:prstGeom prst="rect">
                      <a:avLst/>
                    </a:prstGeom>
                    <a:noFill/>
                  </pic:spPr>
                </pic:pic>
              </a:graphicData>
            </a:graphic>
          </wp:inline>
        </w:drawing>
      </w:r>
    </w:p>
    <w:p w:rsidR="00295F59" w:rsidRDefault="00C018AA" w:rsidP="00CE330E">
      <w:pPr>
        <w:rPr>
          <w:b/>
          <w:color w:val="004785"/>
          <w:sz w:val="44"/>
          <w:szCs w:val="44"/>
        </w:rPr>
      </w:pPr>
      <w:r w:rsidRPr="00C018AA">
        <w:rPr>
          <w:b/>
          <w:color w:val="004785"/>
          <w:sz w:val="44"/>
          <w:szCs w:val="44"/>
        </w:rPr>
        <w:t>Paediatric End of Life managed Care Network (PELiCaN)</w:t>
      </w:r>
    </w:p>
    <w:p w:rsidR="005A1EDC" w:rsidRDefault="008D3BFD" w:rsidP="008D3BFD">
      <w:pPr>
        <w:rPr>
          <w:bCs/>
          <w:color w:val="004785"/>
          <w:sz w:val="44"/>
          <w:szCs w:val="44"/>
        </w:rPr>
      </w:pPr>
      <w:r w:rsidRPr="008D3BFD">
        <w:rPr>
          <w:bCs/>
          <w:color w:val="004785"/>
          <w:sz w:val="44"/>
          <w:szCs w:val="44"/>
        </w:rPr>
        <w:t>Professional Information and Contacts Resource</w:t>
      </w:r>
    </w:p>
    <w:p w:rsidR="008D3BFD" w:rsidRDefault="008D3BFD" w:rsidP="008D3BFD">
      <w:pPr>
        <w:rPr>
          <w:bCs/>
          <w:color w:val="004785"/>
          <w:sz w:val="44"/>
          <w:szCs w:val="44"/>
        </w:rPr>
      </w:pPr>
    </w:p>
    <w:p w:rsidR="008D3BFD" w:rsidRDefault="008D3BFD" w:rsidP="008D3BFD">
      <w:r w:rsidRPr="008D3BFD">
        <w:t>Information sheet for Professionals when consideration and coordination of end-of-life care at hospital, hospice or home is required.</w:t>
      </w:r>
    </w:p>
    <w:p w:rsidR="008D3BFD" w:rsidRPr="008D3BFD" w:rsidRDefault="008D3BFD" w:rsidP="008D3BFD">
      <w:pPr>
        <w:rPr>
          <w:rFonts w:eastAsia="Calibri"/>
          <w:color w:val="auto"/>
          <w:lang w:eastAsia="en-US"/>
        </w:rPr>
      </w:pPr>
    </w:p>
    <w:tbl>
      <w:tblPr>
        <w:tblStyle w:val="TableGrid11"/>
        <w:tblW w:w="0" w:type="auto"/>
        <w:tblLook w:val="04A0" w:firstRow="1" w:lastRow="0" w:firstColumn="1" w:lastColumn="0" w:noHBand="0" w:noVBand="1"/>
      </w:tblPr>
      <w:tblGrid>
        <w:gridCol w:w="9016"/>
      </w:tblGrid>
      <w:tr w:rsidR="008D3BFD" w:rsidRPr="008D3BFD" w:rsidTr="00C54539">
        <w:tc>
          <w:tcPr>
            <w:tcW w:w="9016" w:type="dxa"/>
          </w:tcPr>
          <w:p w:rsidR="008D3BFD" w:rsidRPr="008D3BFD" w:rsidRDefault="008D3BFD" w:rsidP="008D3BFD">
            <w:pPr>
              <w:rPr>
                <w:rFonts w:eastAsia="Calibri"/>
                <w:b/>
                <w:color w:val="auto"/>
                <w:lang w:eastAsia="en-US"/>
              </w:rPr>
            </w:pPr>
            <w:r w:rsidRPr="008D3BFD">
              <w:rPr>
                <w:rFonts w:eastAsia="Calibri"/>
                <w:b/>
                <w:color w:val="auto"/>
                <w:lang w:eastAsia="en-US"/>
              </w:rPr>
              <w:t>Please consider urgent referral to Specialist Palliative Care services:</w:t>
            </w: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 xml:space="preserve">Children’s Hospices Across Scotland Children’s Hospices Across Scotland CHAS: </w:t>
            </w:r>
          </w:p>
        </w:tc>
      </w:tr>
      <w:tr w:rsidR="008D3BFD" w:rsidRPr="008D3BFD" w:rsidTr="00C54539">
        <w:tc>
          <w:tcPr>
            <w:tcW w:w="9016" w:type="dxa"/>
          </w:tcPr>
          <w:p w:rsidR="008D3BFD" w:rsidRPr="008D3BFD" w:rsidRDefault="008D3BFD" w:rsidP="008D3BFD">
            <w:pPr>
              <w:numPr>
                <w:ilvl w:val="0"/>
                <w:numId w:val="49"/>
              </w:numPr>
              <w:rPr>
                <w:rFonts w:eastAsia="Calibri"/>
                <w:color w:val="auto"/>
                <w:lang w:eastAsia="en-US"/>
              </w:rPr>
            </w:pPr>
            <w:r w:rsidRPr="008D3BFD">
              <w:rPr>
                <w:rFonts w:eastAsia="Calibri"/>
                <w:color w:val="auto"/>
                <w:lang w:eastAsia="en-US"/>
              </w:rPr>
              <w:t xml:space="preserve">Robin House, Balloch on 01389 722055                                          </w:t>
            </w:r>
          </w:p>
        </w:tc>
      </w:tr>
      <w:tr w:rsidR="008D3BFD" w:rsidRPr="008D3BFD" w:rsidTr="00C54539">
        <w:tc>
          <w:tcPr>
            <w:tcW w:w="9016" w:type="dxa"/>
          </w:tcPr>
          <w:p w:rsidR="008D3BFD" w:rsidRPr="008D3BFD" w:rsidRDefault="008D3BFD" w:rsidP="008D3BFD">
            <w:pPr>
              <w:numPr>
                <w:ilvl w:val="0"/>
                <w:numId w:val="49"/>
              </w:numPr>
              <w:rPr>
                <w:rFonts w:eastAsia="Calibri"/>
                <w:color w:val="auto"/>
                <w:lang w:eastAsia="en-US"/>
              </w:rPr>
            </w:pPr>
            <w:r w:rsidRPr="008D3BFD">
              <w:rPr>
                <w:rFonts w:eastAsia="Calibri"/>
                <w:color w:val="auto"/>
                <w:lang w:eastAsia="en-US"/>
              </w:rPr>
              <w:t xml:space="preserve">Rachel House, Kinross on 01577 865 777   </w:t>
            </w: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 xml:space="preserve">An online referral can be made at </w:t>
            </w:r>
            <w:hyperlink r:id="rId10" w:history="1">
              <w:r w:rsidRPr="008D3BFD">
                <w:rPr>
                  <w:rFonts w:eastAsia="Calibri"/>
                  <w:color w:val="0563C1"/>
                  <w:u w:val="single"/>
                  <w:lang w:eastAsia="en-US"/>
                </w:rPr>
                <w:t>https://www.chas.org.uk/about-us/contact-us/make-a-referral</w:t>
              </w:r>
            </w:hyperlink>
            <w:r w:rsidRPr="008D3BFD">
              <w:rPr>
                <w:rFonts w:eastAsia="Calibri"/>
                <w:color w:val="auto"/>
                <w:lang w:eastAsia="en-US"/>
              </w:rPr>
              <w:t xml:space="preserve"> </w:t>
            </w:r>
          </w:p>
          <w:p w:rsidR="008D3BFD" w:rsidRPr="008D3BFD" w:rsidRDefault="008D3BFD" w:rsidP="008D3BFD">
            <w:pPr>
              <w:rPr>
                <w:rFonts w:eastAsia="Calibri"/>
                <w:color w:val="auto"/>
                <w:lang w:eastAsia="en-US"/>
              </w:rPr>
            </w:pPr>
          </w:p>
        </w:tc>
      </w:tr>
      <w:tr w:rsidR="008D3BFD" w:rsidRPr="008D3BFD" w:rsidTr="00C54539">
        <w:tc>
          <w:tcPr>
            <w:tcW w:w="9016" w:type="dxa"/>
          </w:tcPr>
          <w:p w:rsidR="008D3BFD" w:rsidRPr="008D3BFD" w:rsidRDefault="008D3BFD" w:rsidP="008D3BFD">
            <w:pPr>
              <w:rPr>
                <w:rFonts w:eastAsia="Calibri"/>
                <w:b/>
                <w:color w:val="auto"/>
                <w:lang w:eastAsia="en-US"/>
              </w:rPr>
            </w:pPr>
            <w:proofErr w:type="gramStart"/>
            <w:r w:rsidRPr="008D3BFD">
              <w:rPr>
                <w:rFonts w:eastAsia="Calibri"/>
                <w:b/>
                <w:color w:val="auto"/>
                <w:lang w:eastAsia="en-US"/>
              </w:rPr>
              <w:t>Alternatively</w:t>
            </w:r>
            <w:proofErr w:type="gramEnd"/>
            <w:r w:rsidRPr="008D3BFD">
              <w:rPr>
                <w:rFonts w:eastAsia="Calibri"/>
                <w:b/>
                <w:color w:val="auto"/>
                <w:lang w:eastAsia="en-US"/>
              </w:rPr>
              <w:t xml:space="preserve"> please contact your local Children’s Palliative Care Service:</w:t>
            </w: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Royal Hospital for Children Glasgow contact The Paediatric Supportive and Palliative Care Team on 0141 452 4894</w:t>
            </w:r>
          </w:p>
          <w:p w:rsidR="008D3BFD" w:rsidRPr="008D3BFD" w:rsidRDefault="008D3BFD" w:rsidP="008D3BFD">
            <w:pPr>
              <w:rPr>
                <w:rFonts w:eastAsia="Calibri"/>
                <w:color w:val="auto"/>
                <w:lang w:eastAsia="en-US"/>
              </w:rPr>
            </w:pP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Royal Hospital for Children and Young People Edinburgh contact The Children and Young Peoples Palliative Care Team on 0131 536 0318</w:t>
            </w:r>
          </w:p>
          <w:p w:rsidR="008D3BFD" w:rsidRPr="008D3BFD" w:rsidRDefault="008D3BFD" w:rsidP="008D3BFD">
            <w:pPr>
              <w:rPr>
                <w:rFonts w:eastAsia="Calibri"/>
                <w:color w:val="auto"/>
                <w:lang w:eastAsia="en-US"/>
              </w:rPr>
            </w:pP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Royal Aberdeen Children’s Hospital contact The Palliative Care Team on 0779680779</w:t>
            </w:r>
          </w:p>
          <w:p w:rsidR="008D3BFD" w:rsidRPr="008D3BFD" w:rsidRDefault="008D3BFD" w:rsidP="008D3BFD">
            <w:pPr>
              <w:rPr>
                <w:rFonts w:eastAsia="Calibri"/>
                <w:color w:val="FF0000"/>
                <w:lang w:eastAsia="en-US"/>
              </w:rPr>
            </w:pP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University Hospital Crosshouse, Kilmarnock contact The Supportive Care Team on 01563 826129</w:t>
            </w:r>
          </w:p>
          <w:p w:rsidR="008D3BFD" w:rsidRPr="008D3BFD" w:rsidRDefault="008D3BFD" w:rsidP="008D3BFD">
            <w:pPr>
              <w:rPr>
                <w:rFonts w:eastAsia="Calibri"/>
                <w:color w:val="auto"/>
                <w:lang w:eastAsia="en-US"/>
              </w:rPr>
            </w:pP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Dundee Kings Cross Hospital contact The Children’s Complex Needs and Palliative Care Nurse Specialists on 01382 835116</w:t>
            </w:r>
          </w:p>
          <w:p w:rsidR="008D3BFD" w:rsidRPr="008D3BFD" w:rsidRDefault="008D3BFD" w:rsidP="008D3BFD">
            <w:pPr>
              <w:rPr>
                <w:rFonts w:eastAsia="Calibri"/>
                <w:color w:val="FF0000"/>
                <w:lang w:eastAsia="en-US"/>
              </w:rPr>
            </w:pP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b/>
                <w:color w:val="auto"/>
                <w:lang w:eastAsia="en-US"/>
              </w:rPr>
              <w:t xml:space="preserve">Each locality will have a CCN team and contact details for teams can be found at: </w:t>
            </w:r>
            <w:hyperlink r:id="rId11" w:history="1">
              <w:r w:rsidRPr="008D3BFD">
                <w:rPr>
                  <w:rFonts w:eastAsia="Calibri"/>
                  <w:color w:val="0563C1"/>
                  <w:u w:val="single"/>
                  <w:lang w:eastAsia="en-US"/>
                </w:rPr>
                <w:t>https://www.clinicalguidelines.scot.nhs.uk/ggc-paediatric-guidelines/ggc-guidelines/emergency-medicine/community-nursing-teams-scotland-contact-numbers/</w:t>
              </w:r>
            </w:hyperlink>
            <w:r w:rsidRPr="008D3BFD">
              <w:rPr>
                <w:rFonts w:eastAsia="Calibri"/>
                <w:color w:val="auto"/>
                <w:lang w:eastAsia="en-US"/>
              </w:rPr>
              <w:t xml:space="preserve"> </w:t>
            </w:r>
          </w:p>
          <w:p w:rsidR="008D3BFD" w:rsidRPr="008D3BFD" w:rsidRDefault="008D3BFD" w:rsidP="008D3BFD">
            <w:pPr>
              <w:rPr>
                <w:rFonts w:eastAsia="Calibri"/>
                <w:color w:val="auto"/>
                <w:lang w:eastAsia="en-US"/>
              </w:rPr>
            </w:pP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b/>
                <w:color w:val="auto"/>
                <w:lang w:eastAsia="en-US"/>
              </w:rPr>
              <w:t xml:space="preserve">Adult Hospices services contacts can be found at: </w:t>
            </w:r>
            <w:hyperlink r:id="rId12" w:history="1">
              <w:r w:rsidRPr="008D3BFD">
                <w:rPr>
                  <w:rFonts w:eastAsia="Calibri"/>
                  <w:color w:val="0563C1"/>
                  <w:u w:val="single"/>
                  <w:lang w:eastAsia="en-US"/>
                </w:rPr>
                <w:t>https://www.palliativecarescotland.org.uk/content/hospices_specialist_units/</w:t>
              </w:r>
            </w:hyperlink>
            <w:r w:rsidRPr="008D3BFD">
              <w:rPr>
                <w:rFonts w:eastAsia="Calibri"/>
                <w:color w:val="auto"/>
                <w:lang w:eastAsia="en-US"/>
              </w:rPr>
              <w:t xml:space="preserve"> </w:t>
            </w:r>
          </w:p>
          <w:p w:rsidR="008D3BFD" w:rsidRPr="008D3BFD" w:rsidRDefault="008D3BFD" w:rsidP="008D3BFD">
            <w:pPr>
              <w:rPr>
                <w:rFonts w:eastAsia="Calibri"/>
                <w:color w:val="auto"/>
                <w:lang w:eastAsia="en-US"/>
              </w:rPr>
            </w:pPr>
          </w:p>
        </w:tc>
      </w:tr>
    </w:tbl>
    <w:p w:rsidR="008D3BFD" w:rsidRPr="008D3BFD" w:rsidRDefault="008D3BFD" w:rsidP="008D3BFD">
      <w:pPr>
        <w:rPr>
          <w:rFonts w:eastAsia="Calibri"/>
          <w:color w:val="auto"/>
          <w:lang w:eastAsia="en-US"/>
        </w:rPr>
      </w:pPr>
    </w:p>
    <w:tbl>
      <w:tblPr>
        <w:tblStyle w:val="TableGrid11"/>
        <w:tblW w:w="0" w:type="auto"/>
        <w:tblBorders>
          <w:insideH w:val="none" w:sz="0" w:space="0" w:color="auto"/>
          <w:insideV w:val="none" w:sz="0" w:space="0" w:color="auto"/>
        </w:tblBorders>
        <w:tblLook w:val="04A0" w:firstRow="1" w:lastRow="0" w:firstColumn="1" w:lastColumn="0" w:noHBand="0" w:noVBand="1"/>
      </w:tblPr>
      <w:tblGrid>
        <w:gridCol w:w="9016"/>
      </w:tblGrid>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b/>
                <w:color w:val="auto"/>
                <w:lang w:eastAsia="en-US"/>
              </w:rPr>
              <w:t>Goals of Care</w:t>
            </w:r>
            <w:r w:rsidRPr="008D3BFD">
              <w:rPr>
                <w:rFonts w:eastAsia="Calibri"/>
                <w:color w:val="auto"/>
                <w:lang w:eastAsia="en-US"/>
              </w:rPr>
              <w:t xml:space="preserve"> should be clearly identified and agreed between: </w:t>
            </w:r>
          </w:p>
        </w:tc>
      </w:tr>
      <w:tr w:rsidR="008D3BFD" w:rsidRPr="008D3BFD" w:rsidTr="00C54539">
        <w:tc>
          <w:tcPr>
            <w:tcW w:w="9016" w:type="dxa"/>
          </w:tcPr>
          <w:p w:rsidR="008D3BFD" w:rsidRPr="008D3BFD" w:rsidRDefault="008D3BFD" w:rsidP="008D3BFD">
            <w:pPr>
              <w:numPr>
                <w:ilvl w:val="0"/>
                <w:numId w:val="47"/>
              </w:numPr>
              <w:rPr>
                <w:rFonts w:eastAsia="Calibri"/>
                <w:color w:val="auto"/>
                <w:lang w:eastAsia="en-US"/>
              </w:rPr>
            </w:pPr>
            <w:r w:rsidRPr="008D3BFD">
              <w:rPr>
                <w:rFonts w:eastAsia="Calibri"/>
                <w:color w:val="auto"/>
                <w:lang w:eastAsia="en-US"/>
              </w:rPr>
              <w:t>Professional teams</w:t>
            </w:r>
          </w:p>
        </w:tc>
      </w:tr>
      <w:tr w:rsidR="008D3BFD" w:rsidRPr="008D3BFD" w:rsidTr="00C54539">
        <w:tc>
          <w:tcPr>
            <w:tcW w:w="9016" w:type="dxa"/>
          </w:tcPr>
          <w:p w:rsidR="008D3BFD" w:rsidRPr="008D3BFD" w:rsidRDefault="008D3BFD" w:rsidP="008D3BFD">
            <w:pPr>
              <w:numPr>
                <w:ilvl w:val="0"/>
                <w:numId w:val="47"/>
              </w:numPr>
              <w:rPr>
                <w:rFonts w:eastAsia="Calibri"/>
                <w:color w:val="auto"/>
                <w:lang w:eastAsia="en-US"/>
              </w:rPr>
            </w:pPr>
            <w:r w:rsidRPr="008D3BFD">
              <w:rPr>
                <w:rFonts w:eastAsia="Calibri"/>
                <w:color w:val="auto"/>
                <w:lang w:eastAsia="en-US"/>
              </w:rPr>
              <w:t>Parents and family members</w:t>
            </w:r>
          </w:p>
        </w:tc>
      </w:tr>
      <w:tr w:rsidR="008D3BFD" w:rsidRPr="008D3BFD" w:rsidTr="00C54539">
        <w:tc>
          <w:tcPr>
            <w:tcW w:w="9016" w:type="dxa"/>
          </w:tcPr>
          <w:p w:rsidR="008D3BFD" w:rsidRPr="008D3BFD" w:rsidRDefault="008D3BFD" w:rsidP="008D3BFD">
            <w:pPr>
              <w:numPr>
                <w:ilvl w:val="0"/>
                <w:numId w:val="47"/>
              </w:numPr>
              <w:rPr>
                <w:rFonts w:eastAsia="Calibri"/>
                <w:color w:val="auto"/>
                <w:lang w:eastAsia="en-US"/>
              </w:rPr>
            </w:pPr>
            <w:r w:rsidRPr="008D3BFD">
              <w:rPr>
                <w:rFonts w:eastAsia="Calibri"/>
                <w:color w:val="auto"/>
                <w:lang w:eastAsia="en-US"/>
              </w:rPr>
              <w:t>Professionals and parents</w:t>
            </w:r>
          </w:p>
        </w:tc>
      </w:tr>
      <w:tr w:rsidR="008D3BFD" w:rsidRPr="008D3BFD" w:rsidTr="00C54539">
        <w:tc>
          <w:tcPr>
            <w:tcW w:w="9016" w:type="dxa"/>
          </w:tcPr>
          <w:p w:rsidR="008D3BFD" w:rsidRPr="008D3BFD" w:rsidRDefault="008D3BFD" w:rsidP="008D3BFD">
            <w:pPr>
              <w:jc w:val="both"/>
              <w:rPr>
                <w:rFonts w:eastAsia="Calibri"/>
                <w:color w:val="auto"/>
                <w:lang w:eastAsia="en-US"/>
              </w:rPr>
            </w:pPr>
          </w:p>
          <w:p w:rsidR="008D3BFD" w:rsidRPr="008D3BFD" w:rsidRDefault="008D3BFD" w:rsidP="008D3BFD">
            <w:pPr>
              <w:jc w:val="both"/>
              <w:rPr>
                <w:rFonts w:eastAsia="Calibri"/>
                <w:color w:val="auto"/>
                <w:lang w:eastAsia="en-US"/>
              </w:rPr>
            </w:pPr>
            <w:r w:rsidRPr="008D3BFD">
              <w:rPr>
                <w:rFonts w:eastAsia="Calibri"/>
                <w:color w:val="auto"/>
                <w:lang w:eastAsia="en-US"/>
              </w:rPr>
              <w:t>For end of life care to be facilitated Goals of Care require to be agreed that support the child living as well as possible, with comfort and support being the primary aim of parents and professionals. This will require targeted but limited assessment, whilst acknowledging that very little or considerable medical, nursing and psychosocial services may be required depending on the child’s and the family’s needs.</w:t>
            </w:r>
          </w:p>
        </w:tc>
      </w:tr>
      <w:tr w:rsidR="008D3BFD" w:rsidRPr="008D3BFD" w:rsidTr="00C54539">
        <w:tblPrEx>
          <w:tblBorders>
            <w:insideH w:val="single" w:sz="4" w:space="0" w:color="auto"/>
            <w:insideV w:val="single" w:sz="4" w:space="0" w:color="auto"/>
          </w:tblBorders>
        </w:tblPrEx>
        <w:tc>
          <w:tcPr>
            <w:tcW w:w="9016" w:type="dxa"/>
          </w:tcPr>
          <w:p w:rsidR="008D3BFD" w:rsidRPr="008D3BFD" w:rsidRDefault="008D3BFD" w:rsidP="008D3BFD">
            <w:pPr>
              <w:jc w:val="both"/>
              <w:rPr>
                <w:rFonts w:eastAsia="Calibri"/>
                <w:color w:val="auto"/>
                <w:lang w:eastAsia="en-US"/>
              </w:rPr>
            </w:pPr>
            <w:r w:rsidRPr="008D3BFD">
              <w:rPr>
                <w:rFonts w:eastAsia="Calibri"/>
                <w:color w:val="auto"/>
                <w:lang w:eastAsia="en-US"/>
              </w:rPr>
              <w:t xml:space="preserve">Having established clear </w:t>
            </w:r>
            <w:r w:rsidRPr="008D3BFD">
              <w:rPr>
                <w:rFonts w:eastAsia="Calibri"/>
                <w:b/>
                <w:color w:val="auto"/>
                <w:lang w:eastAsia="en-US"/>
              </w:rPr>
              <w:t>Goals of Care at end of life</w:t>
            </w:r>
            <w:r w:rsidRPr="008D3BFD">
              <w:rPr>
                <w:rFonts w:eastAsia="Calibri"/>
                <w:color w:val="auto"/>
                <w:lang w:eastAsia="en-US"/>
              </w:rPr>
              <w:t>, concise instructions regarding resuscitation must be documented.  A Child and Young Person Acute Deterioration Management CYPADM plan should be completed stating the appropriate level of intervention.</w:t>
            </w:r>
          </w:p>
        </w:tc>
      </w:tr>
      <w:tr w:rsidR="008D3BFD" w:rsidRPr="008D3BFD" w:rsidTr="00C54539">
        <w:tblPrEx>
          <w:tblBorders>
            <w:insideH w:val="single" w:sz="4" w:space="0" w:color="auto"/>
            <w:insideV w:val="single" w:sz="4" w:space="0" w:color="auto"/>
          </w:tblBorders>
        </w:tblPrEx>
        <w:tc>
          <w:tcPr>
            <w:tcW w:w="9016" w:type="dxa"/>
          </w:tcPr>
          <w:p w:rsidR="008D3BFD" w:rsidRPr="008D3BFD" w:rsidRDefault="008D3BFD" w:rsidP="008D3BFD">
            <w:pPr>
              <w:rPr>
                <w:rFonts w:eastAsia="Calibri"/>
                <w:color w:val="auto"/>
                <w:lang w:eastAsia="en-US"/>
              </w:rPr>
            </w:pPr>
            <w:r w:rsidRPr="008D3BFD">
              <w:rPr>
                <w:rFonts w:eastAsia="Calibri"/>
                <w:b/>
                <w:color w:val="auto"/>
                <w:lang w:eastAsia="en-US"/>
              </w:rPr>
              <w:t xml:space="preserve">NHS Scotland CYPADM form can be downloaded here: </w:t>
            </w:r>
            <w:hyperlink r:id="rId13" w:history="1">
              <w:r w:rsidR="009A6C83">
                <w:rPr>
                  <w:rFonts w:eastAsia="Calibri"/>
                  <w:color w:val="0000FF" w:themeColor="hyperlink"/>
                  <w:u w:val="single"/>
                  <w:lang w:eastAsia="en-US"/>
                </w:rPr>
                <w:t>https://www.pelican.scot.nhs.uk/guidance-documents/</w:t>
              </w:r>
            </w:hyperlink>
          </w:p>
        </w:tc>
      </w:tr>
      <w:tr w:rsidR="008D3BFD" w:rsidRPr="008D3BFD" w:rsidTr="00C54539">
        <w:tblPrEx>
          <w:tblBorders>
            <w:insideH w:val="single" w:sz="4" w:space="0" w:color="auto"/>
            <w:insideV w:val="single" w:sz="4" w:space="0" w:color="auto"/>
          </w:tblBorders>
        </w:tblPrEx>
        <w:tc>
          <w:tcPr>
            <w:tcW w:w="9016" w:type="dxa"/>
          </w:tcPr>
          <w:p w:rsidR="008D3BFD" w:rsidRPr="008D3BFD" w:rsidRDefault="008D3BFD" w:rsidP="008D3BFD">
            <w:pPr>
              <w:rPr>
                <w:rFonts w:eastAsia="Calibri"/>
                <w:color w:val="auto"/>
                <w:lang w:eastAsia="en-US"/>
              </w:rPr>
            </w:pPr>
            <w:r w:rsidRPr="008D3BFD">
              <w:rPr>
                <w:rFonts w:eastAsia="Calibri"/>
                <w:b/>
                <w:color w:val="auto"/>
                <w:lang w:eastAsia="en-US"/>
              </w:rPr>
              <w:t xml:space="preserve">NHS Scotland Parental Factsheet – Is Resuscitation right for my child? Can be downloaded here: </w:t>
            </w:r>
            <w:hyperlink r:id="rId14" w:history="1">
              <w:r w:rsidRPr="008D3BFD">
                <w:rPr>
                  <w:rFonts w:eastAsia="Calibri"/>
                  <w:color w:val="0000FF" w:themeColor="hyperlink"/>
                  <w:u w:val="single"/>
                  <w:lang w:eastAsia="en-US"/>
                </w:rPr>
                <w:t>https://www.webarchive.org.uk/wayback/archive/3000/https://www.gov.scot/Resource/0039/00398438.pdf</w:t>
              </w:r>
            </w:hyperlink>
          </w:p>
        </w:tc>
      </w:tr>
    </w:tbl>
    <w:p w:rsidR="008D3BFD" w:rsidRPr="008D3BFD" w:rsidRDefault="008D3BFD" w:rsidP="008D3BFD">
      <w:pPr>
        <w:rPr>
          <w:rFonts w:eastAsia="Calibri"/>
          <w:color w:val="auto"/>
          <w:lang w:eastAsia="en-US"/>
        </w:rPr>
      </w:pPr>
    </w:p>
    <w:tbl>
      <w:tblPr>
        <w:tblStyle w:val="TableGrid11"/>
        <w:tblW w:w="0" w:type="auto"/>
        <w:tblLook w:val="04A0" w:firstRow="1" w:lastRow="0" w:firstColumn="1" w:lastColumn="0" w:noHBand="0" w:noVBand="1"/>
      </w:tblPr>
      <w:tblGrid>
        <w:gridCol w:w="9016"/>
      </w:tblGrid>
      <w:tr w:rsidR="008D3BFD" w:rsidRPr="008D3BFD" w:rsidTr="00C54539">
        <w:tc>
          <w:tcPr>
            <w:tcW w:w="9016" w:type="dxa"/>
          </w:tcPr>
          <w:p w:rsidR="008D3BFD" w:rsidRPr="008D3BFD" w:rsidRDefault="008D3BFD" w:rsidP="008D3BFD">
            <w:pPr>
              <w:jc w:val="both"/>
              <w:rPr>
                <w:rFonts w:eastAsia="Calibri"/>
                <w:color w:val="auto"/>
                <w:lang w:eastAsia="en-US"/>
              </w:rPr>
            </w:pPr>
            <w:r w:rsidRPr="008D3BFD">
              <w:rPr>
                <w:rFonts w:eastAsia="Calibri"/>
                <w:b/>
                <w:color w:val="auto"/>
                <w:lang w:eastAsia="en-US"/>
              </w:rPr>
              <w:t>An Anticipatory Care Plan (ACP)</w:t>
            </w:r>
            <w:r w:rsidRPr="008D3BFD">
              <w:rPr>
                <w:rFonts w:eastAsia="Calibri"/>
                <w:color w:val="auto"/>
                <w:lang w:eastAsia="en-US"/>
              </w:rPr>
              <w:t xml:space="preserve"> should be agreed and utilised for the planning of expected or potential symptoms and the ongoing holistic management of the child.  This works best as a shared document contributed to by both the child and family in conjunction with the Multidisciplinary Team directly involved in the child’s care.  </w:t>
            </w:r>
            <w:r w:rsidRPr="008D3BFD">
              <w:rPr>
                <w:rFonts w:eastAsia="Calibri"/>
                <w:b/>
                <w:color w:val="auto"/>
                <w:lang w:eastAsia="en-US"/>
              </w:rPr>
              <w:t>A Symptom Management Plan (SMP)</w:t>
            </w:r>
            <w:r w:rsidRPr="008D3BFD">
              <w:rPr>
                <w:rFonts w:eastAsia="Calibri"/>
                <w:color w:val="auto"/>
                <w:lang w:eastAsia="en-US"/>
              </w:rPr>
              <w:t xml:space="preserve"> can be incorporated within the ACP or can be developed as a stand-alone document.</w:t>
            </w: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b/>
                <w:color w:val="auto"/>
                <w:lang w:eastAsia="en-US"/>
              </w:rPr>
              <w:t>The national template for My Anticipatory Care Plan for Babies, Children and Young People can be downloaded here:</w:t>
            </w:r>
            <w:r w:rsidRPr="008D3BFD">
              <w:rPr>
                <w:rFonts w:eastAsia="Calibri"/>
                <w:color w:val="auto"/>
                <w:lang w:eastAsia="en-US"/>
              </w:rPr>
              <w:t xml:space="preserve"> </w:t>
            </w:r>
          </w:p>
          <w:p w:rsidR="008D3BFD" w:rsidRPr="008D3BFD" w:rsidRDefault="00D82607" w:rsidP="008D3BFD">
            <w:pPr>
              <w:rPr>
                <w:rFonts w:eastAsia="Calibri"/>
                <w:color w:val="auto"/>
                <w:lang w:eastAsia="en-US"/>
              </w:rPr>
            </w:pPr>
            <w:hyperlink r:id="rId15" w:history="1">
              <w:r w:rsidR="008D3BFD" w:rsidRPr="008D3BFD">
                <w:rPr>
                  <w:rFonts w:eastAsia="Calibri"/>
                  <w:color w:val="0563C1"/>
                  <w:u w:val="single"/>
                  <w:lang w:eastAsia="en-US"/>
                </w:rPr>
                <w:t>https://ihub.scot/project-toolkits/anticipatory-care-planning-toolkit/anticipatory-care-planning-toolkit/</w:t>
              </w:r>
            </w:hyperlink>
            <w:r w:rsidR="008D3BFD" w:rsidRPr="008D3BFD">
              <w:rPr>
                <w:rFonts w:eastAsia="Calibri"/>
                <w:color w:val="auto"/>
                <w:lang w:eastAsia="en-US"/>
              </w:rPr>
              <w:t xml:space="preserve"> </w:t>
            </w:r>
          </w:p>
        </w:tc>
      </w:tr>
    </w:tbl>
    <w:p w:rsidR="008D3BFD" w:rsidRPr="008D3BFD" w:rsidRDefault="008D3BFD" w:rsidP="008D3BFD">
      <w:pPr>
        <w:rPr>
          <w:rFonts w:eastAsia="Calibri"/>
          <w:color w:val="auto"/>
          <w:lang w:eastAsia="en-US"/>
        </w:rPr>
      </w:pPr>
    </w:p>
    <w:tbl>
      <w:tblPr>
        <w:tblStyle w:val="TableGrid11"/>
        <w:tblW w:w="9053" w:type="dxa"/>
        <w:tblLook w:val="04A0" w:firstRow="1" w:lastRow="0" w:firstColumn="1" w:lastColumn="0" w:noHBand="0" w:noVBand="1"/>
      </w:tblPr>
      <w:tblGrid>
        <w:gridCol w:w="9016"/>
        <w:gridCol w:w="37"/>
      </w:tblGrid>
      <w:tr w:rsidR="008D3BFD" w:rsidRPr="008D3BFD" w:rsidTr="008D3BFD">
        <w:trPr>
          <w:gridAfter w:val="1"/>
          <w:wAfter w:w="37" w:type="dxa"/>
        </w:trPr>
        <w:tc>
          <w:tcPr>
            <w:tcW w:w="9016" w:type="dxa"/>
          </w:tcPr>
          <w:p w:rsidR="008D3BFD" w:rsidRPr="008D3BFD" w:rsidRDefault="008D3BFD" w:rsidP="008D3BFD">
            <w:pPr>
              <w:jc w:val="both"/>
              <w:rPr>
                <w:rFonts w:eastAsia="Calibri"/>
                <w:b/>
                <w:color w:val="auto"/>
                <w:lang w:eastAsia="en-US"/>
              </w:rPr>
            </w:pPr>
            <w:r w:rsidRPr="008D3BFD">
              <w:rPr>
                <w:rFonts w:eastAsia="Calibri"/>
                <w:b/>
                <w:color w:val="auto"/>
                <w:lang w:eastAsia="en-US"/>
              </w:rPr>
              <w:t>If end of life care is to be facilitated at home an MDT should be organised at the earliest opportunity.</w:t>
            </w:r>
          </w:p>
          <w:p w:rsidR="008D3BFD" w:rsidRPr="008D3BFD" w:rsidRDefault="008D3BFD" w:rsidP="008D3BFD">
            <w:pPr>
              <w:jc w:val="both"/>
              <w:rPr>
                <w:rFonts w:eastAsia="Calibri"/>
                <w:color w:val="auto"/>
                <w:lang w:eastAsia="en-US"/>
              </w:rPr>
            </w:pPr>
            <w:r w:rsidRPr="008D3BFD">
              <w:rPr>
                <w:rFonts w:eastAsia="Calibri"/>
                <w:color w:val="auto"/>
                <w:lang w:eastAsia="en-US"/>
              </w:rPr>
              <w:t xml:space="preserve">Significant decisions about a child’s care and diagnosis of dying are made on the basis of multi-disciplinary discussions. </w:t>
            </w:r>
            <w:r w:rsidRPr="008D3BFD">
              <w:rPr>
                <w:rFonts w:eastAsia="Calibri"/>
                <w:b/>
                <w:color w:val="auto"/>
                <w:lang w:eastAsia="en-US"/>
              </w:rPr>
              <w:t>It is important to be realistic regarding the timescales required for safe supported discharge.</w:t>
            </w:r>
          </w:p>
        </w:tc>
      </w:tr>
      <w:tr w:rsidR="008D3BFD" w:rsidRPr="008D3BFD" w:rsidTr="008D3BFD">
        <w:trPr>
          <w:gridAfter w:val="1"/>
          <w:wAfter w:w="37" w:type="dxa"/>
        </w:trPr>
        <w:tc>
          <w:tcPr>
            <w:tcW w:w="9016" w:type="dxa"/>
          </w:tcPr>
          <w:p w:rsidR="008D3BFD" w:rsidRPr="008D3BFD" w:rsidRDefault="008D3BFD" w:rsidP="008D3BFD">
            <w:pPr>
              <w:rPr>
                <w:rFonts w:eastAsia="Calibri"/>
                <w:b/>
                <w:color w:val="auto"/>
                <w:lang w:eastAsia="en-US"/>
              </w:rPr>
            </w:pPr>
            <w:r w:rsidRPr="008D3BFD">
              <w:rPr>
                <w:rFonts w:eastAsia="Calibri"/>
                <w:b/>
                <w:color w:val="auto"/>
                <w:lang w:eastAsia="en-US"/>
              </w:rPr>
              <w:t>Considerations of who should be invited to attend:</w:t>
            </w:r>
          </w:p>
        </w:tc>
      </w:tr>
      <w:tr w:rsidR="008D3BFD" w:rsidRPr="008D3BFD" w:rsidTr="008D3BFD">
        <w:trPr>
          <w:gridAfter w:val="1"/>
          <w:wAfter w:w="37" w:type="dxa"/>
        </w:trPr>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Lead Clinician, Disease Specific Teams, Community Paediatrics, Community Children’s Nurse Team, GP, CHAS at Home Team, Specialist School Nurses, Health Visitors, Psychology, Family Support Teams, Social Work Department, Allied Health Professionals.</w:t>
            </w:r>
          </w:p>
        </w:tc>
      </w:tr>
      <w:tr w:rsidR="008D3BFD" w:rsidRPr="008D3BFD" w:rsidTr="008D3BFD">
        <w:trPr>
          <w:gridAfter w:val="1"/>
          <w:wAfter w:w="37" w:type="dxa"/>
        </w:trPr>
        <w:tc>
          <w:tcPr>
            <w:tcW w:w="9016" w:type="dxa"/>
          </w:tcPr>
          <w:p w:rsidR="008D3BFD" w:rsidRPr="008D3BFD" w:rsidRDefault="008D3BFD" w:rsidP="008D3BFD">
            <w:pPr>
              <w:rPr>
                <w:rFonts w:eastAsiaTheme="minorHAnsi"/>
                <w:color w:val="1F497D"/>
                <w:lang w:eastAsia="en-US"/>
              </w:rPr>
            </w:pPr>
            <w:r w:rsidRPr="008D3BFD">
              <w:rPr>
                <w:rFonts w:eastAsia="Calibri"/>
                <w:color w:val="auto"/>
                <w:lang w:eastAsia="en-US"/>
              </w:rPr>
              <w:t>Please access the PELiCaN Guidance on Compassionate Reorientation of Care for information on Transfer Planning and MDT:</w:t>
            </w:r>
            <w:r w:rsidRPr="008D3BFD">
              <w:rPr>
                <w:rFonts w:eastAsia="Calibri"/>
                <w:lang w:eastAsia="en-US"/>
              </w:rPr>
              <w:t xml:space="preserve">  </w:t>
            </w:r>
            <w:hyperlink r:id="rId16" w:history="1">
              <w:r w:rsidR="00643A93">
                <w:t xml:space="preserve"> PELiCaN - </w:t>
              </w:r>
              <w:r w:rsidR="00643A93" w:rsidRPr="00643A93">
                <w:rPr>
                  <w:rStyle w:val="Hyperlink"/>
                  <w:rFonts w:eastAsia="Calibri"/>
                  <w:b/>
                  <w:bCs/>
                  <w:lang w:eastAsia="en-US"/>
                </w:rPr>
                <w:t>Guidance document</w:t>
              </w:r>
              <w:r w:rsidR="00643A93" w:rsidRPr="00643A93">
                <w:rPr>
                  <w:rStyle w:val="Hyperlink"/>
                  <w:rFonts w:eastAsia="Calibri"/>
                  <w:lang w:eastAsia="en-US"/>
                </w:rPr>
                <w:t xml:space="preserve"> - Reorientation of Care out with the Ward or Critical Care Unit</w:t>
              </w:r>
              <w:r w:rsidRPr="008D3BFD">
                <w:rPr>
                  <w:rStyle w:val="Hyperlink"/>
                  <w:rFonts w:eastAsia="Calibri"/>
                  <w:lang w:eastAsia="en-US"/>
                </w:rPr>
                <w:t xml:space="preserve"> (NSD610-002.01)</w:t>
              </w:r>
            </w:hyperlink>
          </w:p>
        </w:tc>
      </w:tr>
      <w:tr w:rsidR="008D3BFD" w:rsidRPr="008D3BFD" w:rsidTr="008D3BFD">
        <w:trPr>
          <w:gridAfter w:val="1"/>
          <w:wAfter w:w="37" w:type="dxa"/>
        </w:trPr>
        <w:tc>
          <w:tcPr>
            <w:tcW w:w="9016" w:type="dxa"/>
          </w:tcPr>
          <w:p w:rsidR="008D3BFD" w:rsidRPr="008D3BFD" w:rsidRDefault="008D3BFD" w:rsidP="008D3BFD">
            <w:pPr>
              <w:rPr>
                <w:rFonts w:eastAsia="Calibri"/>
                <w:color w:val="FF0000"/>
                <w:lang w:eastAsia="en-US"/>
              </w:rPr>
            </w:pPr>
            <w:r w:rsidRPr="008D3BFD">
              <w:rPr>
                <w:rFonts w:eastAsia="Calibri"/>
                <w:color w:val="auto"/>
                <w:lang w:eastAsia="en-US"/>
              </w:rPr>
              <w:t xml:space="preserve">Please access the PELICAN flowchart for transfer planning: </w:t>
            </w:r>
            <w:r w:rsidRPr="008D3BFD">
              <w:rPr>
                <w:rFonts w:eastAsia="Calibri"/>
                <w:color w:val="0070C0"/>
                <w:lang w:eastAsia="en-US"/>
              </w:rPr>
              <w:t xml:space="preserve"> </w:t>
            </w:r>
          </w:p>
          <w:p w:rsidR="008D3BFD" w:rsidRPr="008D3BFD" w:rsidRDefault="00D82607" w:rsidP="008D3BFD">
            <w:pPr>
              <w:rPr>
                <w:rFonts w:eastAsia="Calibri"/>
                <w:color w:val="auto"/>
                <w:u w:val="single"/>
                <w:lang w:eastAsia="en-US"/>
              </w:rPr>
            </w:pPr>
            <w:hyperlink r:id="rId17" w:history="1">
              <w:r w:rsidR="00B359C2">
                <w:t xml:space="preserve"> </w:t>
              </w:r>
              <w:r w:rsidR="00B359C2" w:rsidRPr="00B359C2">
                <w:rPr>
                  <w:rStyle w:val="Hyperlink"/>
                  <w:rFonts w:eastAsia="Calibri"/>
                  <w:lang w:eastAsia="en-US"/>
                </w:rPr>
                <w:t xml:space="preserve">PELiCaN - </w:t>
              </w:r>
              <w:r w:rsidR="00B359C2" w:rsidRPr="00B359C2">
                <w:rPr>
                  <w:rStyle w:val="Hyperlink"/>
                  <w:rFonts w:eastAsia="Calibri"/>
                  <w:b/>
                  <w:bCs/>
                  <w:lang w:eastAsia="en-US"/>
                </w:rPr>
                <w:t>Checklist only</w:t>
              </w:r>
              <w:r w:rsidR="00B359C2" w:rsidRPr="00B359C2">
                <w:rPr>
                  <w:rStyle w:val="Hyperlink"/>
                  <w:rFonts w:eastAsia="Calibri"/>
                  <w:lang w:eastAsia="en-US"/>
                </w:rPr>
                <w:t>- Reorientation of care out with the Ward or Critical Care Unit</w:t>
              </w:r>
              <w:r w:rsidR="008D3BFD" w:rsidRPr="00022262">
                <w:rPr>
                  <w:rStyle w:val="Hyperlink"/>
                  <w:rFonts w:eastAsia="Calibri"/>
                  <w:lang w:eastAsia="en-US"/>
                </w:rPr>
                <w:t xml:space="preserve"> (NSD610-002)</w:t>
              </w:r>
            </w:hyperlink>
            <w:r w:rsidR="008D3BFD" w:rsidRPr="008D3BFD">
              <w:rPr>
                <w:rFonts w:eastAsia="Calibri"/>
                <w:color w:val="auto"/>
                <w:u w:val="single"/>
                <w:lang w:eastAsia="en-US"/>
              </w:rPr>
              <w:t xml:space="preserve"> </w:t>
            </w:r>
          </w:p>
        </w:tc>
      </w:tr>
      <w:tr w:rsidR="008128B4" w:rsidRPr="008D3BFD" w:rsidTr="008128B4">
        <w:trPr>
          <w:trHeight w:val="558"/>
        </w:trPr>
        <w:tc>
          <w:tcPr>
            <w:tcW w:w="9053" w:type="dxa"/>
            <w:gridSpan w:val="2"/>
          </w:tcPr>
          <w:p w:rsidR="008128B4" w:rsidRPr="008D3BFD" w:rsidRDefault="008128B4" w:rsidP="008D3BFD">
            <w:pPr>
              <w:rPr>
                <w:rFonts w:eastAsia="Calibri"/>
                <w:b/>
                <w:color w:val="auto"/>
                <w:lang w:eastAsia="en-US"/>
              </w:rPr>
            </w:pPr>
            <w:r w:rsidRPr="008128B4">
              <w:rPr>
                <w:rFonts w:eastAsia="Calibri"/>
                <w:b/>
                <w:color w:val="auto"/>
                <w:lang w:eastAsia="en-US"/>
              </w:rPr>
              <w:t>Specialist symptom management support should be sought from your local specialist service</w:t>
            </w:r>
          </w:p>
        </w:tc>
      </w:tr>
      <w:tr w:rsidR="008D3BFD" w:rsidRPr="008D3BFD" w:rsidTr="008D3BFD">
        <w:trPr>
          <w:trHeight w:val="1875"/>
        </w:trPr>
        <w:tc>
          <w:tcPr>
            <w:tcW w:w="9053" w:type="dxa"/>
            <w:gridSpan w:val="2"/>
          </w:tcPr>
          <w:p w:rsidR="008D3BFD" w:rsidRPr="008D3BFD" w:rsidRDefault="008D3BFD" w:rsidP="008D3BFD">
            <w:pPr>
              <w:rPr>
                <w:rFonts w:eastAsia="Calibri"/>
                <w:color w:val="auto"/>
                <w:lang w:eastAsia="en-US"/>
              </w:rPr>
            </w:pPr>
            <w:r w:rsidRPr="008D3BFD">
              <w:rPr>
                <w:rFonts w:eastAsia="Calibri"/>
                <w:b/>
                <w:color w:val="auto"/>
                <w:lang w:eastAsia="en-US"/>
              </w:rPr>
              <w:t>The Association for Paediatric Palliative Medicine (APPM),</w:t>
            </w:r>
            <w:r w:rsidRPr="008D3BFD">
              <w:rPr>
                <w:rFonts w:eastAsia="Calibri"/>
                <w:color w:val="auto"/>
                <w:lang w:eastAsia="en-US"/>
              </w:rPr>
              <w:t xml:space="preserve"> brings together all available paediatric palliative prescribing information in a single volume, utilising up to date published research and consensus expert opinion.  It continues to keep pace with new guidance on existing medication and introduces newer drugs pertinent to the field of paediatric palliative medicine.  </w:t>
            </w:r>
          </w:p>
          <w:p w:rsidR="008D3BFD" w:rsidRPr="008D3BFD" w:rsidRDefault="008D3BFD" w:rsidP="008D3BFD">
            <w:pPr>
              <w:rPr>
                <w:rFonts w:eastAsia="Calibri"/>
                <w:color w:val="auto"/>
                <w:lang w:eastAsia="en-US"/>
              </w:rPr>
            </w:pPr>
          </w:p>
          <w:p w:rsidR="008D3BFD" w:rsidRPr="008D3BFD" w:rsidRDefault="00D82607" w:rsidP="008D3BFD">
            <w:pPr>
              <w:rPr>
                <w:rFonts w:eastAsia="Calibri"/>
                <w:color w:val="auto"/>
                <w:lang w:eastAsia="en-US"/>
              </w:rPr>
            </w:pPr>
            <w:hyperlink r:id="rId18" w:history="1">
              <w:r w:rsidR="008D3BFD" w:rsidRPr="008D3BFD">
                <w:rPr>
                  <w:rFonts w:eastAsia="Calibri"/>
                  <w:color w:val="0563C1"/>
                  <w:u w:val="single"/>
                  <w:lang w:eastAsia="en-US"/>
                </w:rPr>
                <w:t>https://www.appm.org.uk/guidelines-resources/appm-master-formulary/</w:t>
              </w:r>
            </w:hyperlink>
          </w:p>
        </w:tc>
      </w:tr>
      <w:tr w:rsidR="008D3BFD" w:rsidRPr="008D3BFD" w:rsidTr="008D3BFD">
        <w:trPr>
          <w:trHeight w:val="1251"/>
        </w:trPr>
        <w:tc>
          <w:tcPr>
            <w:tcW w:w="9053" w:type="dxa"/>
            <w:gridSpan w:val="2"/>
          </w:tcPr>
          <w:p w:rsidR="008D3BFD" w:rsidRPr="008D3BFD" w:rsidRDefault="008D3BFD" w:rsidP="008D3BFD">
            <w:pPr>
              <w:rPr>
                <w:rFonts w:eastAsia="Calibri"/>
                <w:color w:val="auto"/>
                <w:lang w:eastAsia="en-US"/>
              </w:rPr>
            </w:pPr>
            <w:r w:rsidRPr="008D3BFD">
              <w:rPr>
                <w:rFonts w:eastAsia="Calibri"/>
                <w:b/>
                <w:color w:val="auto"/>
                <w:lang w:eastAsia="en-US"/>
              </w:rPr>
              <w:t>Palliativedrugs.com</w:t>
            </w:r>
            <w:r w:rsidRPr="008D3BFD">
              <w:rPr>
                <w:rFonts w:eastAsia="Calibri"/>
                <w:color w:val="auto"/>
                <w:lang w:eastAsia="en-US"/>
              </w:rPr>
              <w:t xml:space="preserve"> provides essential independent information for health professionals about drugs used in palliative and hospice care.  It includes details about the administration of multiple drugs by continuous subcutaneous infusion. </w:t>
            </w:r>
          </w:p>
          <w:p w:rsidR="008D3BFD" w:rsidRPr="008D3BFD" w:rsidRDefault="008D3BFD" w:rsidP="008D3BFD">
            <w:pPr>
              <w:rPr>
                <w:rFonts w:eastAsia="Calibri"/>
                <w:color w:val="auto"/>
                <w:lang w:eastAsia="en-US"/>
              </w:rPr>
            </w:pPr>
          </w:p>
          <w:p w:rsidR="008D3BFD" w:rsidRPr="008D3BFD" w:rsidRDefault="00D82607" w:rsidP="008D3BFD">
            <w:pPr>
              <w:rPr>
                <w:rFonts w:eastAsia="Calibri"/>
                <w:color w:val="0563C1"/>
                <w:u w:val="single"/>
                <w:lang w:eastAsia="en-US"/>
              </w:rPr>
            </w:pPr>
            <w:hyperlink r:id="rId19" w:history="1">
              <w:r w:rsidR="008D3BFD" w:rsidRPr="008D3BFD">
                <w:rPr>
                  <w:rFonts w:eastAsia="Calibri"/>
                  <w:color w:val="0563C1"/>
                  <w:u w:val="single"/>
                  <w:lang w:eastAsia="en-US"/>
                </w:rPr>
                <w:t>https://www.palliativedrugs.com/</w:t>
              </w:r>
            </w:hyperlink>
          </w:p>
          <w:p w:rsidR="008D3BFD" w:rsidRPr="008D3BFD" w:rsidRDefault="008D3BFD" w:rsidP="008D3BFD">
            <w:pPr>
              <w:rPr>
                <w:rFonts w:eastAsia="Calibri"/>
                <w:color w:val="auto"/>
                <w:lang w:eastAsia="en-US"/>
              </w:rPr>
            </w:pPr>
            <w:r w:rsidRPr="008D3BFD">
              <w:rPr>
                <w:rFonts w:eastAsia="Calibri"/>
                <w:color w:val="auto"/>
                <w:lang w:eastAsia="en-US"/>
              </w:rPr>
              <w:t xml:space="preserve"> </w:t>
            </w:r>
          </w:p>
        </w:tc>
      </w:tr>
    </w:tbl>
    <w:p w:rsidR="008D3BFD" w:rsidRPr="008D3BFD" w:rsidRDefault="008D3BFD" w:rsidP="008D3BFD">
      <w:pPr>
        <w:contextualSpacing/>
        <w:rPr>
          <w:rFonts w:eastAsia="Calibri"/>
          <w:color w:val="auto"/>
          <w:lang w:eastAsia="en-US"/>
        </w:rPr>
      </w:pPr>
      <w:r w:rsidRPr="008D3BFD">
        <w:rPr>
          <w:rFonts w:eastAsia="Calibri"/>
          <w:color w:val="auto"/>
          <w:lang w:eastAsia="en-US"/>
        </w:rPr>
        <w:t xml:space="preserve"> </w:t>
      </w:r>
    </w:p>
    <w:tbl>
      <w:tblPr>
        <w:tblStyle w:val="TableGrid11"/>
        <w:tblW w:w="0" w:type="auto"/>
        <w:tblLook w:val="04A0" w:firstRow="1" w:lastRow="0" w:firstColumn="1" w:lastColumn="0" w:noHBand="0" w:noVBand="1"/>
      </w:tblPr>
      <w:tblGrid>
        <w:gridCol w:w="9016"/>
      </w:tblGrid>
      <w:tr w:rsidR="008D3BFD" w:rsidRPr="008D3BFD" w:rsidTr="00C54539">
        <w:tc>
          <w:tcPr>
            <w:tcW w:w="9016" w:type="dxa"/>
          </w:tcPr>
          <w:p w:rsidR="008D3BFD" w:rsidRPr="008D3BFD" w:rsidRDefault="008D3BFD" w:rsidP="008D3BFD">
            <w:pPr>
              <w:jc w:val="both"/>
              <w:rPr>
                <w:rFonts w:eastAsia="Calibri"/>
                <w:color w:val="auto"/>
                <w:lang w:eastAsia="en-US"/>
              </w:rPr>
            </w:pPr>
            <w:r w:rsidRPr="008D3BFD">
              <w:rPr>
                <w:rFonts w:eastAsia="Calibri"/>
                <w:b/>
                <w:color w:val="auto"/>
                <w:lang w:eastAsia="en-US"/>
              </w:rPr>
              <w:t>A ‘Just in Case’ box</w:t>
            </w:r>
            <w:r w:rsidRPr="008D3BFD">
              <w:rPr>
                <w:rFonts w:eastAsia="Calibri"/>
                <w:color w:val="auto"/>
                <w:lang w:eastAsia="en-US"/>
              </w:rPr>
              <w:t xml:space="preserve"> will be required for symptom management at home.  This should be supplied in an anticipatory manner so that medications are in place and accessible as and when required.  Anticipatory prescribing should also be in place to support the immediate use of medications as symptoms develop.  Consideration is required regarding the least invasive and most sustainable route of medicine administration.  If a continuous subcutaneous infusion (CSCI) is required, agreement must be reached regarding what nursing teams will have capacity and expertise in its daily administration and 24/7 trouble shooting capacity.</w:t>
            </w:r>
          </w:p>
        </w:tc>
      </w:tr>
    </w:tbl>
    <w:p w:rsidR="008D3BFD" w:rsidRPr="008D3BFD" w:rsidRDefault="008D3BFD" w:rsidP="008D3BFD">
      <w:pPr>
        <w:contextualSpacing/>
        <w:rPr>
          <w:rFonts w:eastAsia="Calibri"/>
          <w:color w:val="auto"/>
          <w:lang w:eastAsia="en-US"/>
        </w:rPr>
      </w:pPr>
    </w:p>
    <w:tbl>
      <w:tblPr>
        <w:tblStyle w:val="TableGrid11"/>
        <w:tblW w:w="0" w:type="auto"/>
        <w:tblLook w:val="04A0" w:firstRow="1" w:lastRow="0" w:firstColumn="1" w:lastColumn="0" w:noHBand="0" w:noVBand="1"/>
      </w:tblPr>
      <w:tblGrid>
        <w:gridCol w:w="9016"/>
      </w:tblGrid>
      <w:tr w:rsidR="008D3BFD" w:rsidRPr="008D3BFD" w:rsidTr="008D3BFD">
        <w:trPr>
          <w:trHeight w:val="533"/>
        </w:trPr>
        <w:tc>
          <w:tcPr>
            <w:tcW w:w="9016" w:type="dxa"/>
          </w:tcPr>
          <w:p w:rsidR="008D3BFD" w:rsidRPr="008D3BFD" w:rsidRDefault="008D3BFD" w:rsidP="008D3BFD">
            <w:pPr>
              <w:rPr>
                <w:rFonts w:eastAsia="Calibri"/>
                <w:b/>
                <w:color w:val="auto"/>
                <w:lang w:eastAsia="en-US"/>
              </w:rPr>
            </w:pPr>
            <w:r w:rsidRPr="008D3BFD">
              <w:rPr>
                <w:rFonts w:eastAsia="Calibri"/>
                <w:b/>
                <w:color w:val="auto"/>
                <w:lang w:eastAsia="en-US"/>
              </w:rPr>
              <w:t xml:space="preserve">Together for Short Lives End of Life planning prompt sheets </w:t>
            </w:r>
            <w:r w:rsidRPr="008D3BFD">
              <w:rPr>
                <w:rFonts w:eastAsia="Calibri"/>
                <w:b/>
                <w:noProof/>
                <w:color w:val="auto"/>
              </w:rPr>
              <w:drawing>
                <wp:inline distT="0" distB="0" distL="0" distR="0" wp14:anchorId="03AF4F48" wp14:editId="77813F2A">
                  <wp:extent cx="588475" cy="276353"/>
                  <wp:effectExtent l="0" t="0" r="2540" b="0"/>
                  <wp:docPr id="10" name="Picture 10" descr="C:\Users\carolineporter\AppData\Local\Microsoft\Windows\INetCache\Content.MSO\AA12B4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porter\AppData\Local\Microsoft\Windows\INetCache\Content.MSO\AA12B416.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5537" cy="303150"/>
                          </a:xfrm>
                          <a:prstGeom prst="rect">
                            <a:avLst/>
                          </a:prstGeom>
                          <a:noFill/>
                          <a:ln>
                            <a:noFill/>
                          </a:ln>
                        </pic:spPr>
                      </pic:pic>
                    </a:graphicData>
                  </a:graphic>
                </wp:inline>
              </w:drawing>
            </w:r>
            <w:r w:rsidRPr="008D3BFD">
              <w:rPr>
                <w:rFonts w:eastAsia="Calibri"/>
                <w:b/>
                <w:noProof/>
                <w:color w:val="auto"/>
              </w:rPr>
              <w:t xml:space="preserve">                                                                                                                                                   </w:t>
            </w: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 xml:space="preserve">These prompt sheets pull out the key elements from each chapter of </w:t>
            </w:r>
            <w:r w:rsidRPr="008D3BFD">
              <w:rPr>
                <w:rFonts w:eastAsia="Calibri"/>
                <w:b/>
                <w:color w:val="auto"/>
                <w:lang w:eastAsia="en-US"/>
              </w:rPr>
              <w:t xml:space="preserve">‘A Guide to End of Life Care’. </w:t>
            </w:r>
            <w:r w:rsidRPr="008D3BFD">
              <w:rPr>
                <w:rFonts w:eastAsia="Calibri"/>
                <w:color w:val="auto"/>
                <w:lang w:eastAsia="en-US"/>
              </w:rPr>
              <w:t>They cover:</w:t>
            </w:r>
          </w:p>
          <w:p w:rsidR="008D3BFD" w:rsidRPr="008D3BFD" w:rsidRDefault="008D3BFD" w:rsidP="008D3BFD">
            <w:pPr>
              <w:numPr>
                <w:ilvl w:val="0"/>
                <w:numId w:val="48"/>
              </w:numPr>
              <w:rPr>
                <w:rFonts w:eastAsia="Calibri"/>
                <w:color w:val="auto"/>
                <w:lang w:eastAsia="en-US"/>
              </w:rPr>
            </w:pPr>
            <w:r w:rsidRPr="008D3BFD">
              <w:rPr>
                <w:rFonts w:eastAsia="Calibri"/>
                <w:color w:val="auto"/>
                <w:lang w:eastAsia="en-US"/>
              </w:rPr>
              <w:t>Care before death</w:t>
            </w:r>
          </w:p>
          <w:p w:rsidR="008D3BFD" w:rsidRPr="008D3BFD" w:rsidRDefault="008D3BFD" w:rsidP="008D3BFD">
            <w:pPr>
              <w:numPr>
                <w:ilvl w:val="0"/>
                <w:numId w:val="48"/>
              </w:numPr>
              <w:rPr>
                <w:rFonts w:eastAsia="Calibri"/>
                <w:color w:val="auto"/>
                <w:lang w:eastAsia="en-US"/>
              </w:rPr>
            </w:pPr>
            <w:r w:rsidRPr="008D3BFD">
              <w:rPr>
                <w:rFonts w:eastAsia="Calibri"/>
                <w:color w:val="auto"/>
                <w:lang w:eastAsia="en-US"/>
              </w:rPr>
              <w:t>Care at the time of death</w:t>
            </w:r>
          </w:p>
          <w:p w:rsidR="008D3BFD" w:rsidRPr="008D3BFD" w:rsidRDefault="008D3BFD" w:rsidP="008D3BFD">
            <w:pPr>
              <w:numPr>
                <w:ilvl w:val="0"/>
                <w:numId w:val="48"/>
              </w:numPr>
              <w:rPr>
                <w:rFonts w:eastAsia="Calibri"/>
                <w:color w:val="auto"/>
                <w:lang w:eastAsia="en-US"/>
              </w:rPr>
            </w:pPr>
            <w:r w:rsidRPr="008D3BFD">
              <w:rPr>
                <w:rFonts w:eastAsia="Calibri"/>
                <w:color w:val="auto"/>
                <w:lang w:eastAsia="en-US"/>
              </w:rPr>
              <w:t>Care after death</w:t>
            </w:r>
          </w:p>
          <w:p w:rsidR="008D3BFD" w:rsidRPr="008D3BFD" w:rsidRDefault="008D3BFD" w:rsidP="008D3BFD">
            <w:pPr>
              <w:numPr>
                <w:ilvl w:val="0"/>
                <w:numId w:val="48"/>
              </w:numPr>
              <w:rPr>
                <w:rFonts w:eastAsia="Calibri"/>
                <w:color w:val="auto"/>
                <w:lang w:eastAsia="en-US"/>
              </w:rPr>
            </w:pPr>
            <w:r w:rsidRPr="008D3BFD">
              <w:rPr>
                <w:rFonts w:eastAsia="Calibri"/>
                <w:color w:val="auto"/>
                <w:lang w:eastAsia="en-US"/>
              </w:rPr>
              <w:t>Staff Support and Supervision</w:t>
            </w:r>
          </w:p>
          <w:p w:rsidR="008D3BFD" w:rsidRPr="008D3BFD" w:rsidRDefault="008D3BFD" w:rsidP="008D3BFD">
            <w:pPr>
              <w:ind w:left="770"/>
              <w:rPr>
                <w:rFonts w:eastAsia="Calibri"/>
                <w:color w:val="auto"/>
                <w:lang w:eastAsia="en-US"/>
              </w:rPr>
            </w:pPr>
          </w:p>
          <w:p w:rsidR="008D3BFD" w:rsidRPr="008D3BFD" w:rsidRDefault="008D3BFD" w:rsidP="008D3BFD">
            <w:pPr>
              <w:rPr>
                <w:rFonts w:eastAsia="Calibri"/>
                <w:color w:val="auto"/>
                <w:lang w:eastAsia="en-US"/>
              </w:rPr>
            </w:pPr>
            <w:r w:rsidRPr="008D3BFD">
              <w:rPr>
                <w:rFonts w:eastAsia="Calibri"/>
                <w:color w:val="auto"/>
                <w:lang w:eastAsia="en-US"/>
              </w:rPr>
              <w:t>The prompts are designed to be used in practice for easy reference to help practitioners make sure they have covered every aspect of care, with the more detailed guide being intended for more in-depth study.</w:t>
            </w:r>
          </w:p>
          <w:p w:rsidR="008D3BFD" w:rsidRPr="008D3BFD" w:rsidRDefault="008D3BFD" w:rsidP="008D3BFD">
            <w:pPr>
              <w:rPr>
                <w:rFonts w:eastAsia="Calibri"/>
                <w:color w:val="auto"/>
                <w:lang w:eastAsia="en-US"/>
              </w:rPr>
            </w:pPr>
          </w:p>
          <w:p w:rsidR="008D3BFD" w:rsidRPr="008D3BFD" w:rsidRDefault="00D82607" w:rsidP="008D3BFD">
            <w:pPr>
              <w:rPr>
                <w:rFonts w:eastAsia="Calibri"/>
                <w:color w:val="auto"/>
                <w:lang w:eastAsia="en-US"/>
              </w:rPr>
            </w:pPr>
            <w:hyperlink r:id="rId21" w:history="1">
              <w:r w:rsidR="008D3BFD" w:rsidRPr="008D3BFD">
                <w:rPr>
                  <w:rFonts w:eastAsia="Calibri"/>
                  <w:color w:val="0563C1"/>
                  <w:u w:val="single"/>
                  <w:lang w:eastAsia="en-US"/>
                </w:rPr>
                <w:t>https://www.togetherforshortlives.org.uk/resource/end-life-planning-prompt-sheets/</w:t>
              </w:r>
            </w:hyperlink>
            <w:r w:rsidR="008D3BFD" w:rsidRPr="008D3BFD">
              <w:rPr>
                <w:rFonts w:eastAsia="Calibri"/>
                <w:color w:val="auto"/>
                <w:lang w:eastAsia="en-US"/>
              </w:rPr>
              <w:t xml:space="preserve"> </w:t>
            </w:r>
          </w:p>
          <w:p w:rsidR="008D3BFD" w:rsidRPr="008D3BFD" w:rsidRDefault="008D3BFD" w:rsidP="008D3BFD">
            <w:pPr>
              <w:rPr>
                <w:rFonts w:eastAsia="Calibri"/>
                <w:color w:val="auto"/>
                <w:lang w:eastAsia="en-US"/>
              </w:rPr>
            </w:pPr>
          </w:p>
        </w:tc>
      </w:tr>
    </w:tbl>
    <w:p w:rsidR="008D3BFD" w:rsidRPr="008D3BFD" w:rsidRDefault="008D3BFD" w:rsidP="008D3BFD">
      <w:pPr>
        <w:contextualSpacing/>
        <w:rPr>
          <w:rFonts w:eastAsia="Calibri"/>
          <w:color w:val="auto"/>
          <w:lang w:eastAsia="en-US"/>
        </w:rPr>
      </w:pPr>
    </w:p>
    <w:tbl>
      <w:tblPr>
        <w:tblStyle w:val="TableGrid11"/>
        <w:tblW w:w="0" w:type="auto"/>
        <w:tblLook w:val="04A0" w:firstRow="1" w:lastRow="0" w:firstColumn="1" w:lastColumn="0" w:noHBand="0" w:noVBand="1"/>
      </w:tblPr>
      <w:tblGrid>
        <w:gridCol w:w="9016"/>
      </w:tblGrid>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b/>
                <w:color w:val="auto"/>
                <w:lang w:eastAsia="en-US"/>
              </w:rPr>
              <w:t>Holistic Family Support</w:t>
            </w:r>
            <w:r w:rsidRPr="008D3BFD">
              <w:rPr>
                <w:rFonts w:eastAsia="Calibri"/>
                <w:color w:val="auto"/>
                <w:lang w:eastAsia="en-US"/>
              </w:rPr>
              <w:t xml:space="preserve"> for all family members is a crucial component to palliative and end of life care embracing physical, emotional, social and spiritual elements through to death and beyond. There should be focus on enhancement of quality of life for the child or young person and support for the family including the management of distressing symptoms, care through death and bereavement. </w:t>
            </w:r>
          </w:p>
          <w:p w:rsidR="008D3BFD" w:rsidRPr="008D3BFD" w:rsidRDefault="008D3BFD" w:rsidP="008D3BFD">
            <w:pPr>
              <w:rPr>
                <w:rFonts w:eastAsia="Calibri"/>
                <w:color w:val="auto"/>
                <w:lang w:eastAsia="en-US"/>
              </w:rPr>
            </w:pPr>
          </w:p>
          <w:p w:rsidR="008D3BFD" w:rsidRPr="008D3BFD" w:rsidRDefault="008D3BFD" w:rsidP="008D3BFD">
            <w:pPr>
              <w:rPr>
                <w:rFonts w:eastAsia="Calibri"/>
                <w:color w:val="auto"/>
                <w:lang w:eastAsia="en-US"/>
              </w:rPr>
            </w:pPr>
            <w:r w:rsidRPr="008D3BFD">
              <w:rPr>
                <w:rFonts w:eastAsia="Calibri"/>
                <w:color w:val="auto"/>
                <w:lang w:eastAsia="en-US"/>
              </w:rPr>
              <w:t xml:space="preserve">Please consider what local supports are available to support all family members and refer to specialist services where local support is limited or unavailable. </w:t>
            </w: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 xml:space="preserve">CHAS Family Support Team – CHAS referral required  </w:t>
            </w:r>
          </w:p>
          <w:p w:rsidR="008D3BFD" w:rsidRPr="008D3BFD" w:rsidRDefault="00D82607" w:rsidP="008D3BFD">
            <w:pPr>
              <w:rPr>
                <w:rFonts w:eastAsia="Calibri"/>
                <w:color w:val="0563C1"/>
                <w:u w:val="single"/>
                <w:lang w:eastAsia="en-US"/>
              </w:rPr>
            </w:pPr>
            <w:hyperlink r:id="rId22" w:history="1">
              <w:r w:rsidR="008D3BFD" w:rsidRPr="008D3BFD">
                <w:rPr>
                  <w:rFonts w:eastAsia="Calibri"/>
                  <w:color w:val="0563C1"/>
                  <w:u w:val="single"/>
                  <w:lang w:eastAsia="en-US"/>
                </w:rPr>
                <w:t>https://www.chas.org.uk/about-us/contact-us/make-a-referral</w:t>
              </w:r>
            </w:hyperlink>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Locality Psychology Services</w:t>
            </w:r>
          </w:p>
        </w:tc>
      </w:tr>
      <w:tr w:rsidR="008D3BFD" w:rsidRPr="008D3BFD" w:rsidTr="00C54539">
        <w:tc>
          <w:tcPr>
            <w:tcW w:w="9016" w:type="dxa"/>
          </w:tcPr>
          <w:p w:rsidR="008D3BFD" w:rsidRPr="008D3BFD" w:rsidRDefault="008D3BFD" w:rsidP="008D3BFD">
            <w:pPr>
              <w:rPr>
                <w:rFonts w:eastAsia="Calibri"/>
                <w:color w:val="auto"/>
                <w:lang w:eastAsia="en-US"/>
              </w:rPr>
            </w:pPr>
            <w:r w:rsidRPr="008D3BFD">
              <w:rPr>
                <w:rFonts w:eastAsia="Calibri"/>
                <w:color w:val="auto"/>
                <w:lang w:eastAsia="en-US"/>
              </w:rPr>
              <w:t>Royal Hospital for Children Glasgow, Child Bereavement UK Team 0141 370 4747</w:t>
            </w:r>
          </w:p>
        </w:tc>
      </w:tr>
    </w:tbl>
    <w:p w:rsidR="008D3BFD" w:rsidRPr="008D3BFD" w:rsidRDefault="008D3BFD" w:rsidP="008D3BFD">
      <w:pPr>
        <w:contextualSpacing/>
        <w:rPr>
          <w:rFonts w:eastAsia="Calibri"/>
          <w:color w:val="auto"/>
          <w:lang w:eastAsia="en-US"/>
        </w:rPr>
      </w:pPr>
    </w:p>
    <w:p w:rsidR="008D3BFD" w:rsidRPr="008D3BFD" w:rsidRDefault="008D3BFD" w:rsidP="008D3BFD">
      <w:pPr>
        <w:jc w:val="both"/>
        <w:rPr>
          <w:rFonts w:eastAsiaTheme="minorHAnsi"/>
          <w:i/>
          <w:color w:val="auto"/>
          <w:lang w:eastAsia="en-US"/>
        </w:rPr>
      </w:pPr>
      <w:r w:rsidRPr="008D3BFD">
        <w:rPr>
          <w:rFonts w:eastAsiaTheme="minorHAnsi"/>
          <w:i/>
          <w:color w:val="auto"/>
          <w:lang w:eastAsia="en-US"/>
        </w:rPr>
        <w:t>This document has been developed by Caroline Porter, Diana Children's Nurse, Children’s Hospices Across Scotland (CHAS).   Thank you for your assistance in the development of this guidance.</w:t>
      </w:r>
    </w:p>
    <w:p w:rsidR="008D3BFD" w:rsidRDefault="008D3BFD" w:rsidP="008D3BFD">
      <w:pPr>
        <w:rPr>
          <w:rFonts w:eastAsiaTheme="minorHAnsi"/>
          <w:color w:val="auto"/>
          <w:lang w:eastAsia="en-US"/>
        </w:rPr>
      </w:pPr>
    </w:p>
    <w:p w:rsidR="008D3BFD" w:rsidRPr="008D3BFD" w:rsidRDefault="008D3BFD" w:rsidP="008D3BFD">
      <w:pPr>
        <w:rPr>
          <w:rFonts w:eastAsiaTheme="minorHAnsi"/>
          <w:color w:val="auto"/>
          <w:lang w:eastAsia="en-US"/>
        </w:rPr>
      </w:pPr>
      <w:r w:rsidRPr="008D3BFD">
        <w:rPr>
          <w:rFonts w:eastAsiaTheme="minorHAnsi"/>
          <w:color w:val="auto"/>
          <w:lang w:eastAsia="en-US"/>
        </w:rPr>
        <w:t xml:space="preserve">The PELiCaN Service Development Group have endeavoured to create as complete a document as possible, however, if you have any constructive feedback or comments on this document this would be greatly appreciated. You can do this by emailing the team on </w:t>
      </w:r>
      <w:hyperlink r:id="rId23" w:history="1">
        <w:r w:rsidRPr="008D3BFD">
          <w:rPr>
            <w:rFonts w:eastAsiaTheme="minorHAnsi"/>
            <w:color w:val="0000FF" w:themeColor="hyperlink"/>
            <w:u w:val="single"/>
            <w:lang w:eastAsia="en-US"/>
          </w:rPr>
          <w:t>nss.pelican@nhs.scot</w:t>
        </w:r>
      </w:hyperlink>
      <w:r w:rsidRPr="008D3BFD">
        <w:rPr>
          <w:rFonts w:eastAsiaTheme="minorHAnsi"/>
          <w:color w:val="auto"/>
          <w:lang w:eastAsia="en-US"/>
        </w:rPr>
        <w:t xml:space="preserve"> or by completing the following </w:t>
      </w:r>
      <w:hyperlink r:id="rId24" w:history="1">
        <w:r w:rsidRPr="008D3BFD">
          <w:rPr>
            <w:rFonts w:eastAsiaTheme="minorHAnsi"/>
            <w:color w:val="0000FF" w:themeColor="hyperlink"/>
            <w:u w:val="single"/>
            <w:lang w:eastAsia="en-US"/>
          </w:rPr>
          <w:t>feedback form</w:t>
        </w:r>
      </w:hyperlink>
      <w:r w:rsidRPr="008D3BFD">
        <w:rPr>
          <w:rFonts w:eastAsiaTheme="minorHAnsi"/>
          <w:color w:val="auto"/>
          <w:lang w:eastAsia="en-US"/>
        </w:rPr>
        <w:t>. N</w:t>
      </w:r>
      <w:r>
        <w:rPr>
          <w:rFonts w:eastAsiaTheme="minorHAnsi"/>
          <w:color w:val="auto"/>
          <w:lang w:eastAsia="en-US"/>
        </w:rPr>
        <w:t>ote:</w:t>
      </w:r>
      <w:r w:rsidRPr="008D3BFD">
        <w:rPr>
          <w:rFonts w:eastAsiaTheme="minorHAnsi"/>
          <w:color w:val="auto"/>
          <w:lang w:eastAsia="en-US"/>
        </w:rPr>
        <w:t xml:space="preserve"> these documents will be subject to NSS document governance and will be subject to regular review.</w:t>
      </w:r>
    </w:p>
    <w:p w:rsidR="008D3BFD" w:rsidRDefault="008D3BFD" w:rsidP="008D3BFD">
      <w:pPr>
        <w:rPr>
          <w:rFonts w:eastAsiaTheme="minorHAnsi"/>
          <w:i/>
          <w:color w:val="auto"/>
          <w:lang w:eastAsia="en-US"/>
        </w:rPr>
      </w:pPr>
    </w:p>
    <w:p w:rsidR="008D3BFD" w:rsidRPr="008D3BFD" w:rsidRDefault="008D3BFD" w:rsidP="008D3BFD">
      <w:pPr>
        <w:rPr>
          <w:rFonts w:eastAsiaTheme="minorHAnsi"/>
          <w:i/>
          <w:color w:val="auto"/>
          <w:lang w:eastAsia="en-US"/>
        </w:rPr>
      </w:pPr>
      <w:r w:rsidRPr="008D3BFD">
        <w:rPr>
          <w:rFonts w:eastAsiaTheme="minorHAnsi"/>
          <w:i/>
          <w:color w:val="auto"/>
          <w:lang w:eastAsia="en-US"/>
        </w:rPr>
        <w:t>NOTE</w:t>
      </w:r>
    </w:p>
    <w:p w:rsidR="008D3BFD" w:rsidRPr="008D3BFD" w:rsidRDefault="008D3BFD" w:rsidP="008D3BFD">
      <w:pPr>
        <w:rPr>
          <w:rFonts w:eastAsiaTheme="minorHAnsi"/>
          <w:i/>
          <w:color w:val="auto"/>
          <w:lang w:eastAsia="en-US"/>
        </w:rPr>
      </w:pPr>
      <w:r w:rsidRPr="008D3BFD">
        <w:rPr>
          <w:rFonts w:eastAsiaTheme="minorHAnsi"/>
          <w:i/>
          <w:color w:val="000000"/>
          <w:lang w:eastAsia="en-US"/>
        </w:rPr>
        <w:t>This guideline is not intended to be construed or to serve as a standard of care. Standards of care are determined on the basis of all clinical data available for an individual case and are subject to change as scientific knowledge and technology advance and patterns of care evolve. Adherence to guideline recommendations will not ensure a successful outcome in every case, nor should they be construed as including all proper methods of care or excluding other acceptable methods of care aimed at the same results. The ultimate judgement must be made by the appropriate healthcare professional(s) responsible for clinical decisions regarding a particular clinical procedure or treatment plan. This judgement should only be arrived at following discussion of the options with the patient, covering the diagnostic and treatment choices available. It is advised, however, that significant departures from the national guideline or any local guidelines derived from it should be fully documented in the patient’s case notes at the time the relevant decision is taken.</w:t>
      </w:r>
    </w:p>
    <w:p w:rsidR="008D3BFD" w:rsidRPr="008D3BFD" w:rsidRDefault="008D3BFD" w:rsidP="008D3BFD">
      <w:pPr>
        <w:rPr>
          <w:iCs/>
        </w:rPr>
      </w:pPr>
    </w:p>
    <w:sectPr w:rsidR="008D3BFD" w:rsidRPr="008D3BFD" w:rsidSect="008D3BFD">
      <w:headerReference w:type="default" r:id="rId25"/>
      <w:footerReference w:type="default" r:id="rId26"/>
      <w:headerReference w:type="first" r:id="rId27"/>
      <w:footerReference w:type="first" r:id="rId28"/>
      <w:pgSz w:w="11906" w:h="16838"/>
      <w:pgMar w:top="1701" w:right="1440" w:bottom="993" w:left="1440"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2607" w:rsidRDefault="00D82607" w:rsidP="003A4B82">
      <w:r>
        <w:separator/>
      </w:r>
    </w:p>
    <w:p w:rsidR="00D82607" w:rsidRDefault="00D82607" w:rsidP="003A4B82"/>
    <w:p w:rsidR="00D82607" w:rsidRDefault="00D82607" w:rsidP="003A4B82"/>
    <w:p w:rsidR="00D82607" w:rsidRDefault="00D82607" w:rsidP="003A4B82"/>
  </w:endnote>
  <w:endnote w:type="continuationSeparator" w:id="0">
    <w:p w:rsidR="00D82607" w:rsidRDefault="00D82607" w:rsidP="003A4B82">
      <w:r>
        <w:continuationSeparator/>
      </w:r>
    </w:p>
    <w:p w:rsidR="00D82607" w:rsidRDefault="00D82607" w:rsidP="003A4B82"/>
    <w:p w:rsidR="00D82607" w:rsidRDefault="00D82607" w:rsidP="003A4B82"/>
    <w:p w:rsidR="00D82607" w:rsidRDefault="00D82607" w:rsidP="003A4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3BFD" w:rsidRPr="003A4B82" w:rsidRDefault="008D3BFD" w:rsidP="008D3BFD">
    <w:pPr>
      <w:rPr>
        <w:rStyle w:val="IntenseEmphasis"/>
      </w:rPr>
    </w:pPr>
    <w:r w:rsidRPr="003A4B82">
      <w:rPr>
        <w:rStyle w:val="IntenseEmphasis"/>
      </w:rPr>
      <w:t xml:space="preserve">Review: </w:t>
    </w:r>
    <w:r>
      <w:rPr>
        <w:rStyle w:val="IntenseEmphasis"/>
      </w:rPr>
      <w:t>May 2026</w:t>
    </w:r>
  </w:p>
  <w:p w:rsidR="00FF7344" w:rsidRPr="008D3BFD" w:rsidRDefault="008D3BFD" w:rsidP="008D3BFD">
    <w:pPr>
      <w:pStyle w:val="Footer"/>
    </w:pPr>
    <w:r>
      <w:rPr>
        <w:rStyle w:val="IntenseEmphasis"/>
      </w:rPr>
      <w:t>NSD610-002.02   V2</w:t>
    </w:r>
    <w:r w:rsidRPr="003A4B82">
      <w:rPr>
        <w:rStyle w:val="IntenseEmphasis"/>
      </w:rPr>
      <w:tab/>
    </w:r>
    <w:r w:rsidRPr="003A4B82">
      <w:rPr>
        <w:rStyle w:val="IntenseEmphasis"/>
      </w:rPr>
      <w:tab/>
      <w:t xml:space="preserve">Page </w:t>
    </w:r>
    <w:r w:rsidRPr="003A4B82">
      <w:rPr>
        <w:rStyle w:val="IntenseEmphasis"/>
      </w:rPr>
      <w:fldChar w:fldCharType="begin"/>
    </w:r>
    <w:r w:rsidRPr="003A4B82">
      <w:rPr>
        <w:rStyle w:val="IntenseEmphasis"/>
      </w:rPr>
      <w:instrText xml:space="preserve"> PAGE  \* Arabic  \* MERGEFORMAT </w:instrText>
    </w:r>
    <w:r w:rsidRPr="003A4B82">
      <w:rPr>
        <w:rStyle w:val="IntenseEmphasis"/>
      </w:rPr>
      <w:fldChar w:fldCharType="separate"/>
    </w:r>
    <w:r>
      <w:rPr>
        <w:rStyle w:val="IntenseEmphasis"/>
      </w:rPr>
      <w:t>1</w:t>
    </w:r>
    <w:r w:rsidRPr="003A4B82">
      <w:rPr>
        <w:rStyle w:val="IntenseEmphasis"/>
      </w:rPr>
      <w:fldChar w:fldCharType="end"/>
    </w:r>
    <w:r w:rsidRPr="003A4B82">
      <w:rPr>
        <w:rStyle w:val="IntenseEmphasis"/>
      </w:rPr>
      <w:t xml:space="preserve"> of </w:t>
    </w:r>
    <w:r w:rsidRPr="003A4B82">
      <w:rPr>
        <w:rStyle w:val="IntenseEmphasis"/>
      </w:rPr>
      <w:fldChar w:fldCharType="begin"/>
    </w:r>
    <w:r w:rsidRPr="003A4B82">
      <w:rPr>
        <w:rStyle w:val="IntenseEmphasis"/>
      </w:rPr>
      <w:instrText xml:space="preserve"> NUMPAGES  \* Arabic  \* MERGEFORMAT </w:instrText>
    </w:r>
    <w:r w:rsidRPr="003A4B82">
      <w:rPr>
        <w:rStyle w:val="IntenseEmphasis"/>
      </w:rPr>
      <w:fldChar w:fldCharType="separate"/>
    </w:r>
    <w:r>
      <w:rPr>
        <w:rStyle w:val="IntenseEmphasis"/>
      </w:rPr>
      <w:t>4</w:t>
    </w:r>
    <w:r w:rsidRPr="003A4B82">
      <w:rPr>
        <w:rStyle w:val="Intense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020" w:rsidRPr="003A4B82" w:rsidRDefault="00E75020" w:rsidP="003A4B82">
    <w:pPr>
      <w:rPr>
        <w:rStyle w:val="IntenseEmphasis"/>
      </w:rPr>
    </w:pPr>
    <w:bookmarkStart w:id="0" w:name="_Hlk139821318"/>
    <w:bookmarkStart w:id="1" w:name="_Hlk139821319"/>
    <w:r w:rsidRPr="003A4B82">
      <w:rPr>
        <w:rStyle w:val="IntenseEmphasis"/>
      </w:rPr>
      <w:t>Review:</w:t>
    </w:r>
    <w:r w:rsidR="005A1EDC" w:rsidRPr="003A4B82">
      <w:rPr>
        <w:rStyle w:val="IntenseEmphasis"/>
      </w:rPr>
      <w:t xml:space="preserve"> </w:t>
    </w:r>
    <w:r w:rsidR="00C018AA">
      <w:rPr>
        <w:rStyle w:val="IntenseEmphasis"/>
      </w:rPr>
      <w:t>M</w:t>
    </w:r>
    <w:r w:rsidR="008D3BFD">
      <w:rPr>
        <w:rStyle w:val="IntenseEmphasis"/>
      </w:rPr>
      <w:t>ay</w:t>
    </w:r>
    <w:r w:rsidR="00C018AA">
      <w:rPr>
        <w:rStyle w:val="IntenseEmphasis"/>
      </w:rPr>
      <w:t xml:space="preserve"> 2026</w:t>
    </w:r>
  </w:p>
  <w:p w:rsidR="00FF7344" w:rsidRPr="003A4B82" w:rsidRDefault="00C018AA" w:rsidP="003A4B82">
    <w:pPr>
      <w:pStyle w:val="Footer"/>
    </w:pPr>
    <w:r>
      <w:rPr>
        <w:rStyle w:val="IntenseEmphasis"/>
      </w:rPr>
      <w:t>NSD610-002.0</w:t>
    </w:r>
    <w:r w:rsidR="008D3BFD">
      <w:rPr>
        <w:rStyle w:val="IntenseEmphasis"/>
      </w:rPr>
      <w:t>2</w:t>
    </w:r>
    <w:r w:rsidR="00E52B9A">
      <w:rPr>
        <w:rStyle w:val="IntenseEmphasis"/>
      </w:rPr>
      <w:t xml:space="preserve">   V</w:t>
    </w:r>
    <w:r w:rsidR="008D3BFD">
      <w:rPr>
        <w:rStyle w:val="IntenseEmphasis"/>
      </w:rPr>
      <w:t>2</w:t>
    </w:r>
    <w:r w:rsidR="00E75020" w:rsidRPr="003A4B82">
      <w:rPr>
        <w:rStyle w:val="IntenseEmphasis"/>
      </w:rPr>
      <w:tab/>
    </w:r>
    <w:r w:rsidR="00E75020" w:rsidRPr="003A4B82">
      <w:rPr>
        <w:rStyle w:val="IntenseEmphasis"/>
      </w:rPr>
      <w:tab/>
      <w:t xml:space="preserve">Page </w:t>
    </w:r>
    <w:r w:rsidR="00E75020" w:rsidRPr="003A4B82">
      <w:rPr>
        <w:rStyle w:val="IntenseEmphasis"/>
      </w:rPr>
      <w:fldChar w:fldCharType="begin"/>
    </w:r>
    <w:r w:rsidR="00E75020" w:rsidRPr="003A4B82">
      <w:rPr>
        <w:rStyle w:val="IntenseEmphasis"/>
      </w:rPr>
      <w:instrText xml:space="preserve"> PAGE  \* Arabic  \* MERGEFORMAT </w:instrText>
    </w:r>
    <w:r w:rsidR="00E75020" w:rsidRPr="003A4B82">
      <w:rPr>
        <w:rStyle w:val="IntenseEmphasis"/>
      </w:rPr>
      <w:fldChar w:fldCharType="separate"/>
    </w:r>
    <w:r w:rsidR="00E75020" w:rsidRPr="003A4B82">
      <w:rPr>
        <w:rStyle w:val="IntenseEmphasis"/>
      </w:rPr>
      <w:t>2</w:t>
    </w:r>
    <w:r w:rsidR="00E75020" w:rsidRPr="003A4B82">
      <w:rPr>
        <w:rStyle w:val="IntenseEmphasis"/>
      </w:rPr>
      <w:fldChar w:fldCharType="end"/>
    </w:r>
    <w:r w:rsidR="00E75020" w:rsidRPr="003A4B82">
      <w:rPr>
        <w:rStyle w:val="IntenseEmphasis"/>
      </w:rPr>
      <w:t xml:space="preserve"> of </w:t>
    </w:r>
    <w:r w:rsidR="00E75020" w:rsidRPr="003A4B82">
      <w:rPr>
        <w:rStyle w:val="IntenseEmphasis"/>
      </w:rPr>
      <w:fldChar w:fldCharType="begin"/>
    </w:r>
    <w:r w:rsidR="00E75020" w:rsidRPr="003A4B82">
      <w:rPr>
        <w:rStyle w:val="IntenseEmphasis"/>
      </w:rPr>
      <w:instrText xml:space="preserve"> NUMPAGES  \* Arabic  \* MERGEFORMAT </w:instrText>
    </w:r>
    <w:r w:rsidR="00E75020" w:rsidRPr="003A4B82">
      <w:rPr>
        <w:rStyle w:val="IntenseEmphasis"/>
      </w:rPr>
      <w:fldChar w:fldCharType="separate"/>
    </w:r>
    <w:r w:rsidR="00E75020" w:rsidRPr="003A4B82">
      <w:rPr>
        <w:rStyle w:val="IntenseEmphasis"/>
      </w:rPr>
      <w:t>5</w:t>
    </w:r>
    <w:r w:rsidR="00E75020" w:rsidRPr="003A4B82">
      <w:rPr>
        <w:rStyle w:val="IntenseEmphasis"/>
      </w:rPr>
      <w:fldChar w:fldCharType="end"/>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2607" w:rsidRDefault="00D82607" w:rsidP="003A4B82">
      <w:r>
        <w:separator/>
      </w:r>
    </w:p>
    <w:p w:rsidR="00D82607" w:rsidRDefault="00D82607" w:rsidP="003A4B82"/>
    <w:p w:rsidR="00D82607" w:rsidRDefault="00D82607" w:rsidP="003A4B82"/>
    <w:p w:rsidR="00D82607" w:rsidRDefault="00D82607" w:rsidP="003A4B82"/>
  </w:footnote>
  <w:footnote w:type="continuationSeparator" w:id="0">
    <w:p w:rsidR="00D82607" w:rsidRDefault="00D82607" w:rsidP="003A4B82">
      <w:r>
        <w:continuationSeparator/>
      </w:r>
    </w:p>
    <w:p w:rsidR="00D82607" w:rsidRDefault="00D82607" w:rsidP="003A4B82"/>
    <w:p w:rsidR="00D82607" w:rsidRDefault="00D82607" w:rsidP="003A4B82"/>
    <w:p w:rsidR="00D82607" w:rsidRDefault="00D82607" w:rsidP="003A4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8AA" w:rsidRDefault="00C018AA" w:rsidP="003A4B82">
    <w:pPr>
      <w:pStyle w:val="Header"/>
      <w:rPr>
        <w:rStyle w:val="SubtleEmphasis"/>
      </w:rPr>
    </w:pPr>
    <w:r w:rsidRPr="00C018AA">
      <w:rPr>
        <w:rStyle w:val="SubtleEmphasis"/>
      </w:rPr>
      <w:t xml:space="preserve">Paediatric End of Life managed Care Network (PELiCaN) </w:t>
    </w:r>
  </w:p>
  <w:p w:rsidR="00382E4B" w:rsidRPr="003A4B82" w:rsidRDefault="008D3BFD" w:rsidP="008D3BFD">
    <w:pPr>
      <w:pStyle w:val="Header"/>
      <w:rPr>
        <w:rStyle w:val="Emphasis"/>
      </w:rPr>
    </w:pPr>
    <w:r w:rsidRPr="008D3BFD">
      <w:rPr>
        <w:rStyle w:val="Emphasis"/>
      </w:rPr>
      <w:t>Professional Information and Contacts Resource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14B" w:rsidRDefault="00535327" w:rsidP="003A4B82">
    <w:pPr>
      <w:pStyle w:val="Header"/>
    </w:pPr>
    <w:r>
      <w:rPr>
        <w:noProof/>
      </w:rPr>
      <mc:AlternateContent>
        <mc:Choice Requires="wps">
          <w:drawing>
            <wp:anchor distT="0" distB="0" distL="114300" distR="114300" simplePos="0" relativeHeight="251663360" behindDoc="0" locked="0" layoutInCell="1" allowOverlap="1" wp14:anchorId="25137AF5" wp14:editId="25FFCB57">
              <wp:simplePos x="0" y="0"/>
              <wp:positionH relativeFrom="column">
                <wp:posOffset>-1990725</wp:posOffset>
              </wp:positionH>
              <wp:positionV relativeFrom="paragraph">
                <wp:posOffset>-2313498</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50D7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56.75pt;margin-top:-182.15pt;width:760.95pt;height:312.7pt;rotation:-13360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" adj="4320,10364" fillcolor="#004785" stroked="f" strokeweight="2pt"/>
          </w:pict>
        </mc:Fallback>
      </mc:AlternateContent>
    </w:r>
  </w:p>
  <w:p w:rsidR="00FF7344" w:rsidRDefault="00FF7344" w:rsidP="003A4B82"/>
  <w:p w:rsidR="00FF7344" w:rsidRDefault="00FF7344" w:rsidP="003A4B82"/>
  <w:p w:rsidR="00FF7344" w:rsidRDefault="00FF7344" w:rsidP="003A4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3D9"/>
    <w:multiLevelType w:val="hybridMultilevel"/>
    <w:tmpl w:val="A2EE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35F83"/>
    <w:multiLevelType w:val="hybridMultilevel"/>
    <w:tmpl w:val="F198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0EA5"/>
    <w:multiLevelType w:val="hybridMultilevel"/>
    <w:tmpl w:val="EDF47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96B32"/>
    <w:multiLevelType w:val="hybridMultilevel"/>
    <w:tmpl w:val="E7F8BD40"/>
    <w:lvl w:ilvl="0" w:tplc="7A6C23E2">
      <w:start w:val="14"/>
      <w:numFmt w:val="bullet"/>
      <w:lvlText w:val=""/>
      <w:lvlJc w:val="left"/>
      <w:pPr>
        <w:ind w:left="644" w:hanging="360"/>
      </w:pPr>
      <w:rPr>
        <w:rFonts w:ascii="Symbol" w:eastAsiaTheme="minorHAnsi" w:hAnsi="Symbol" w:cs="TimesNewRomanPSMT"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4562E2"/>
    <w:multiLevelType w:val="hybridMultilevel"/>
    <w:tmpl w:val="CF36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14DE"/>
    <w:multiLevelType w:val="hybridMultilevel"/>
    <w:tmpl w:val="8314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C5117"/>
    <w:multiLevelType w:val="multilevel"/>
    <w:tmpl w:val="490E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77EBB"/>
    <w:multiLevelType w:val="hybridMultilevel"/>
    <w:tmpl w:val="B058B1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84230"/>
    <w:multiLevelType w:val="hybridMultilevel"/>
    <w:tmpl w:val="2BA484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E1265A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916D7"/>
    <w:multiLevelType w:val="hybridMultilevel"/>
    <w:tmpl w:val="F5CC2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CD1E69"/>
    <w:multiLevelType w:val="hybridMultilevel"/>
    <w:tmpl w:val="A8FA2516"/>
    <w:lvl w:ilvl="0" w:tplc="084CC672">
      <w:start w:val="1"/>
      <w:numFmt w:val="decimal"/>
      <w:pStyle w:val="Heading2"/>
      <w:lvlText w:val="%1."/>
      <w:lvlJc w:val="left"/>
      <w:pPr>
        <w:ind w:left="720" w:hanging="360"/>
      </w:pPr>
      <w:rPr>
        <w:rFonts w:hint="default"/>
        <w:color w:val="00A2E5"/>
        <w:sz w:val="28"/>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A4AB7"/>
    <w:multiLevelType w:val="hybridMultilevel"/>
    <w:tmpl w:val="202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62A84"/>
    <w:multiLevelType w:val="hybridMultilevel"/>
    <w:tmpl w:val="BBA8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737DC"/>
    <w:multiLevelType w:val="hybridMultilevel"/>
    <w:tmpl w:val="A4C821F8"/>
    <w:lvl w:ilvl="0" w:tplc="BCA82B26">
      <w:start w:val="14"/>
      <w:numFmt w:val="bullet"/>
      <w:lvlText w:val=""/>
      <w:lvlJc w:val="left"/>
      <w:pPr>
        <w:ind w:left="643" w:hanging="360"/>
      </w:pPr>
      <w:rPr>
        <w:rFonts w:ascii="Symbol" w:eastAsiaTheme="minorHAnsi" w:hAnsi="Symbo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1D742F96"/>
    <w:multiLevelType w:val="hybridMultilevel"/>
    <w:tmpl w:val="7B283D50"/>
    <w:lvl w:ilvl="0" w:tplc="301039D0">
      <w:start w:val="3"/>
      <w:numFmt w:val="bullet"/>
      <w:lvlText w:val=""/>
      <w:lvlJc w:val="left"/>
      <w:pPr>
        <w:ind w:left="2160" w:hanging="360"/>
      </w:pPr>
      <w:rPr>
        <w:rFonts w:ascii="Wingdings" w:eastAsia="Times New Roman" w:hAnsi="Wingdings" w:cs="Trebuchet M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F3B5605"/>
    <w:multiLevelType w:val="hybridMultilevel"/>
    <w:tmpl w:val="35C4FA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543023"/>
    <w:multiLevelType w:val="multilevel"/>
    <w:tmpl w:val="CE6CA6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BC474C"/>
    <w:multiLevelType w:val="hybridMultilevel"/>
    <w:tmpl w:val="062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670118"/>
    <w:multiLevelType w:val="hybridMultilevel"/>
    <w:tmpl w:val="51DE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40B37"/>
    <w:multiLevelType w:val="hybridMultilevel"/>
    <w:tmpl w:val="39526144"/>
    <w:lvl w:ilvl="0" w:tplc="A95245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D6116E"/>
    <w:multiLevelType w:val="multilevel"/>
    <w:tmpl w:val="ABE60260"/>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3"/>
      <w:numFmt w:val="bullet"/>
      <w:lvlText w:val=""/>
      <w:lvlJc w:val="left"/>
      <w:rPr>
        <w:rFonts w:ascii="Wingdings" w:eastAsia="Times New Roman" w:hAnsi="Wingdings" w:cs="Trebuchet MS" w:hint="default"/>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21" w15:restartNumberingAfterBreak="0">
    <w:nsid w:val="363266A2"/>
    <w:multiLevelType w:val="hybridMultilevel"/>
    <w:tmpl w:val="24A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9354F1"/>
    <w:multiLevelType w:val="hybridMultilevel"/>
    <w:tmpl w:val="DBDE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E02B07"/>
    <w:multiLevelType w:val="hybridMultilevel"/>
    <w:tmpl w:val="DFF8C51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E48070C"/>
    <w:multiLevelType w:val="hybridMultilevel"/>
    <w:tmpl w:val="85101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56A5E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E687E"/>
    <w:multiLevelType w:val="hybridMultilevel"/>
    <w:tmpl w:val="E0805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9C3544"/>
    <w:multiLevelType w:val="hybridMultilevel"/>
    <w:tmpl w:val="77E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35C3D"/>
    <w:multiLevelType w:val="hybridMultilevel"/>
    <w:tmpl w:val="5200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647E5E"/>
    <w:multiLevelType w:val="hybridMultilevel"/>
    <w:tmpl w:val="80DABBC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9" w15:restartNumberingAfterBreak="0">
    <w:nsid w:val="4C384B84"/>
    <w:multiLevelType w:val="hybridMultilevel"/>
    <w:tmpl w:val="EEFE4174"/>
    <w:lvl w:ilvl="0" w:tplc="CB1A32BE">
      <w:start w:val="14"/>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4C68793B"/>
    <w:multiLevelType w:val="hybridMultilevel"/>
    <w:tmpl w:val="4B72BC5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31" w15:restartNumberingAfterBreak="0">
    <w:nsid w:val="4CC314EC"/>
    <w:multiLevelType w:val="hybridMultilevel"/>
    <w:tmpl w:val="ACCEDE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3514BE"/>
    <w:multiLevelType w:val="hybridMultilevel"/>
    <w:tmpl w:val="D79E6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4423ABC"/>
    <w:multiLevelType w:val="hybridMultilevel"/>
    <w:tmpl w:val="4D66D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1BC9C66">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DA46F3"/>
    <w:multiLevelType w:val="hybridMultilevel"/>
    <w:tmpl w:val="A15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F66620"/>
    <w:multiLevelType w:val="hybridMultilevel"/>
    <w:tmpl w:val="7F5C50D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9085B88"/>
    <w:multiLevelType w:val="hybridMultilevel"/>
    <w:tmpl w:val="52FA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5529B2"/>
    <w:multiLevelType w:val="hybridMultilevel"/>
    <w:tmpl w:val="A0E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AF310F"/>
    <w:multiLevelType w:val="hybridMultilevel"/>
    <w:tmpl w:val="626C5B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B883649"/>
    <w:multiLevelType w:val="hybridMultilevel"/>
    <w:tmpl w:val="935E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99260D"/>
    <w:multiLevelType w:val="hybridMultilevel"/>
    <w:tmpl w:val="130A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497CA3"/>
    <w:multiLevelType w:val="hybridMultilevel"/>
    <w:tmpl w:val="BAA4BE36"/>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42" w15:restartNumberingAfterBreak="0">
    <w:nsid w:val="638A6323"/>
    <w:multiLevelType w:val="multilevel"/>
    <w:tmpl w:val="FFFFFFFF"/>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43" w15:restartNumberingAfterBreak="0">
    <w:nsid w:val="681C5190"/>
    <w:multiLevelType w:val="hybridMultilevel"/>
    <w:tmpl w:val="AD96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F17B41"/>
    <w:multiLevelType w:val="hybridMultilevel"/>
    <w:tmpl w:val="9D42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866AFE"/>
    <w:multiLevelType w:val="hybridMultilevel"/>
    <w:tmpl w:val="C50C0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8B842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594C8A"/>
    <w:multiLevelType w:val="multilevel"/>
    <w:tmpl w:val="FFFFFFFF"/>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47" w15:restartNumberingAfterBreak="0">
    <w:nsid w:val="7BD2774E"/>
    <w:multiLevelType w:val="hybridMultilevel"/>
    <w:tmpl w:val="E34A29D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7FBB0068"/>
    <w:multiLevelType w:val="hybridMultilevel"/>
    <w:tmpl w:val="289E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414842">
    <w:abstractNumId w:val="48"/>
  </w:num>
  <w:num w:numId="2" w16cid:durableId="1496602202">
    <w:abstractNumId w:val="44"/>
  </w:num>
  <w:num w:numId="3" w16cid:durableId="826942006">
    <w:abstractNumId w:val="17"/>
  </w:num>
  <w:num w:numId="4" w16cid:durableId="2045324570">
    <w:abstractNumId w:val="34"/>
  </w:num>
  <w:num w:numId="5" w16cid:durableId="1858352248">
    <w:abstractNumId w:val="30"/>
  </w:num>
  <w:num w:numId="6" w16cid:durableId="770667341">
    <w:abstractNumId w:val="5"/>
  </w:num>
  <w:num w:numId="7" w16cid:durableId="740102065">
    <w:abstractNumId w:val="26"/>
  </w:num>
  <w:num w:numId="8" w16cid:durableId="1265652528">
    <w:abstractNumId w:val="21"/>
  </w:num>
  <w:num w:numId="9" w16cid:durableId="1628588398">
    <w:abstractNumId w:val="37"/>
  </w:num>
  <w:num w:numId="10" w16cid:durableId="201744665">
    <w:abstractNumId w:val="11"/>
  </w:num>
  <w:num w:numId="11" w16cid:durableId="2052487090">
    <w:abstractNumId w:val="29"/>
  </w:num>
  <w:num w:numId="12" w16cid:durableId="969163586">
    <w:abstractNumId w:val="3"/>
  </w:num>
  <w:num w:numId="13" w16cid:durableId="107429083">
    <w:abstractNumId w:val="13"/>
  </w:num>
  <w:num w:numId="14" w16cid:durableId="17900805">
    <w:abstractNumId w:val="24"/>
  </w:num>
  <w:num w:numId="15" w16cid:durableId="1888562011">
    <w:abstractNumId w:val="4"/>
  </w:num>
  <w:num w:numId="16" w16cid:durableId="1957062262">
    <w:abstractNumId w:val="12"/>
  </w:num>
  <w:num w:numId="17" w16cid:durableId="13504803">
    <w:abstractNumId w:val="45"/>
  </w:num>
  <w:num w:numId="18" w16cid:durableId="482745875">
    <w:abstractNumId w:val="7"/>
  </w:num>
  <w:num w:numId="19" w16cid:durableId="141167886">
    <w:abstractNumId w:val="10"/>
  </w:num>
  <w:num w:numId="20" w16cid:durableId="2094888795">
    <w:abstractNumId w:val="8"/>
  </w:num>
  <w:num w:numId="21" w16cid:durableId="732392723">
    <w:abstractNumId w:val="35"/>
  </w:num>
  <w:num w:numId="22" w16cid:durableId="1159468105">
    <w:abstractNumId w:val="41"/>
  </w:num>
  <w:num w:numId="23" w16cid:durableId="547767506">
    <w:abstractNumId w:val="43"/>
  </w:num>
  <w:num w:numId="24" w16cid:durableId="1462459083">
    <w:abstractNumId w:val="19"/>
  </w:num>
  <w:num w:numId="25" w16cid:durableId="1533155488">
    <w:abstractNumId w:val="23"/>
  </w:num>
  <w:num w:numId="26" w16cid:durableId="821579547">
    <w:abstractNumId w:val="47"/>
  </w:num>
  <w:num w:numId="27" w16cid:durableId="1831408529">
    <w:abstractNumId w:val="32"/>
  </w:num>
  <w:num w:numId="28" w16cid:durableId="707728401">
    <w:abstractNumId w:val="9"/>
  </w:num>
  <w:num w:numId="29" w16cid:durableId="1583098288">
    <w:abstractNumId w:val="22"/>
  </w:num>
  <w:num w:numId="30" w16cid:durableId="22639150">
    <w:abstractNumId w:val="36"/>
  </w:num>
  <w:num w:numId="31" w16cid:durableId="834960158">
    <w:abstractNumId w:val="1"/>
  </w:num>
  <w:num w:numId="32" w16cid:durableId="156188046">
    <w:abstractNumId w:val="33"/>
  </w:num>
  <w:num w:numId="33" w16cid:durableId="751439618">
    <w:abstractNumId w:val="20"/>
  </w:num>
  <w:num w:numId="34" w16cid:durableId="1650984602">
    <w:abstractNumId w:val="42"/>
  </w:num>
  <w:num w:numId="35" w16cid:durableId="1836870721">
    <w:abstractNumId w:val="46"/>
  </w:num>
  <w:num w:numId="36" w16cid:durableId="1459909323">
    <w:abstractNumId w:val="0"/>
  </w:num>
  <w:num w:numId="37" w16cid:durableId="400713189">
    <w:abstractNumId w:val="14"/>
  </w:num>
  <w:num w:numId="38" w16cid:durableId="1162627149">
    <w:abstractNumId w:val="27"/>
  </w:num>
  <w:num w:numId="39" w16cid:durableId="1179153233">
    <w:abstractNumId w:val="6"/>
  </w:num>
  <w:num w:numId="40" w16cid:durableId="1295017298">
    <w:abstractNumId w:val="16"/>
  </w:num>
  <w:num w:numId="41" w16cid:durableId="1401756394">
    <w:abstractNumId w:val="31"/>
  </w:num>
  <w:num w:numId="42" w16cid:durableId="639769392">
    <w:abstractNumId w:val="2"/>
  </w:num>
  <w:num w:numId="43" w16cid:durableId="1218321136">
    <w:abstractNumId w:val="15"/>
  </w:num>
  <w:num w:numId="44" w16cid:durableId="372586123">
    <w:abstractNumId w:val="38"/>
  </w:num>
  <w:num w:numId="45" w16cid:durableId="769400275">
    <w:abstractNumId w:val="39"/>
  </w:num>
  <w:num w:numId="46" w16cid:durableId="680858500">
    <w:abstractNumId w:val="40"/>
  </w:num>
  <w:num w:numId="47" w16cid:durableId="333849323">
    <w:abstractNumId w:val="18"/>
  </w:num>
  <w:num w:numId="48" w16cid:durableId="1394305656">
    <w:abstractNumId w:val="28"/>
  </w:num>
  <w:num w:numId="49" w16cid:durableId="13266623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177A8"/>
    <w:rsid w:val="00022262"/>
    <w:rsid w:val="00025B02"/>
    <w:rsid w:val="00032C55"/>
    <w:rsid w:val="00036824"/>
    <w:rsid w:val="0003731A"/>
    <w:rsid w:val="00050EA6"/>
    <w:rsid w:val="0005672E"/>
    <w:rsid w:val="00066ADD"/>
    <w:rsid w:val="00094FC9"/>
    <w:rsid w:val="000E128C"/>
    <w:rsid w:val="001165DA"/>
    <w:rsid w:val="001166B5"/>
    <w:rsid w:val="00162C2C"/>
    <w:rsid w:val="001A4774"/>
    <w:rsid w:val="001A487F"/>
    <w:rsid w:val="001A71ED"/>
    <w:rsid w:val="001B4068"/>
    <w:rsid w:val="001C1BE0"/>
    <w:rsid w:val="001C3967"/>
    <w:rsid w:val="001F6C59"/>
    <w:rsid w:val="0020605E"/>
    <w:rsid w:val="00221AEE"/>
    <w:rsid w:val="0023787D"/>
    <w:rsid w:val="00243032"/>
    <w:rsid w:val="00245111"/>
    <w:rsid w:val="00295F59"/>
    <w:rsid w:val="002B31E6"/>
    <w:rsid w:val="003259EB"/>
    <w:rsid w:val="003519F4"/>
    <w:rsid w:val="00371997"/>
    <w:rsid w:val="00382E4B"/>
    <w:rsid w:val="00384B46"/>
    <w:rsid w:val="00392132"/>
    <w:rsid w:val="003A2C06"/>
    <w:rsid w:val="003A4B82"/>
    <w:rsid w:val="003B5EC3"/>
    <w:rsid w:val="003D4CA1"/>
    <w:rsid w:val="003F5E0D"/>
    <w:rsid w:val="00414C9C"/>
    <w:rsid w:val="00417CE0"/>
    <w:rsid w:val="00457071"/>
    <w:rsid w:val="00472D90"/>
    <w:rsid w:val="004A4F18"/>
    <w:rsid w:val="004C3A3F"/>
    <w:rsid w:val="00532963"/>
    <w:rsid w:val="00535327"/>
    <w:rsid w:val="005526F3"/>
    <w:rsid w:val="005A1EDC"/>
    <w:rsid w:val="005A3C7F"/>
    <w:rsid w:val="005C3338"/>
    <w:rsid w:val="005C7FDD"/>
    <w:rsid w:val="005E664B"/>
    <w:rsid w:val="005F44B0"/>
    <w:rsid w:val="0062327F"/>
    <w:rsid w:val="00634E88"/>
    <w:rsid w:val="00641E11"/>
    <w:rsid w:val="00643A93"/>
    <w:rsid w:val="006810E2"/>
    <w:rsid w:val="006827B9"/>
    <w:rsid w:val="00682E4F"/>
    <w:rsid w:val="006843A9"/>
    <w:rsid w:val="006F0B75"/>
    <w:rsid w:val="00792A8B"/>
    <w:rsid w:val="007D0D7E"/>
    <w:rsid w:val="008128B4"/>
    <w:rsid w:val="00812923"/>
    <w:rsid w:val="008737A7"/>
    <w:rsid w:val="00882826"/>
    <w:rsid w:val="008830A7"/>
    <w:rsid w:val="00887584"/>
    <w:rsid w:val="008B66AB"/>
    <w:rsid w:val="008D1CE1"/>
    <w:rsid w:val="008D3BFD"/>
    <w:rsid w:val="008D4A72"/>
    <w:rsid w:val="008E4062"/>
    <w:rsid w:val="008E5211"/>
    <w:rsid w:val="008F59F7"/>
    <w:rsid w:val="00965CCC"/>
    <w:rsid w:val="00970490"/>
    <w:rsid w:val="00971EA3"/>
    <w:rsid w:val="009945FD"/>
    <w:rsid w:val="009A6C83"/>
    <w:rsid w:val="009B6AC6"/>
    <w:rsid w:val="009C1358"/>
    <w:rsid w:val="009D1AC6"/>
    <w:rsid w:val="009D4F8F"/>
    <w:rsid w:val="00A22622"/>
    <w:rsid w:val="00A306FA"/>
    <w:rsid w:val="00A70944"/>
    <w:rsid w:val="00AA0C8F"/>
    <w:rsid w:val="00AA4213"/>
    <w:rsid w:val="00AC78E1"/>
    <w:rsid w:val="00AE514B"/>
    <w:rsid w:val="00B049BA"/>
    <w:rsid w:val="00B359C2"/>
    <w:rsid w:val="00B61AD9"/>
    <w:rsid w:val="00B6404B"/>
    <w:rsid w:val="00BA372B"/>
    <w:rsid w:val="00BF7474"/>
    <w:rsid w:val="00C018AA"/>
    <w:rsid w:val="00C10D8B"/>
    <w:rsid w:val="00C36CE7"/>
    <w:rsid w:val="00C63425"/>
    <w:rsid w:val="00C81BE9"/>
    <w:rsid w:val="00C95390"/>
    <w:rsid w:val="00CB0B9B"/>
    <w:rsid w:val="00CC1230"/>
    <w:rsid w:val="00CE330E"/>
    <w:rsid w:val="00D60669"/>
    <w:rsid w:val="00D74871"/>
    <w:rsid w:val="00D82607"/>
    <w:rsid w:val="00DD1A99"/>
    <w:rsid w:val="00DE078E"/>
    <w:rsid w:val="00E05122"/>
    <w:rsid w:val="00E4686A"/>
    <w:rsid w:val="00E52B9A"/>
    <w:rsid w:val="00E60FB8"/>
    <w:rsid w:val="00E72699"/>
    <w:rsid w:val="00E75020"/>
    <w:rsid w:val="00EB3E55"/>
    <w:rsid w:val="00EC23F5"/>
    <w:rsid w:val="00ED60DF"/>
    <w:rsid w:val="00EE2B12"/>
    <w:rsid w:val="00EE4195"/>
    <w:rsid w:val="00F277C7"/>
    <w:rsid w:val="00F41042"/>
    <w:rsid w:val="00F53303"/>
    <w:rsid w:val="00F7376B"/>
    <w:rsid w:val="00F81525"/>
    <w:rsid w:val="00FA31BC"/>
    <w:rsid w:val="00FB3B4D"/>
    <w:rsid w:val="00FB5AE5"/>
    <w:rsid w:val="00FE1D59"/>
    <w:rsid w:val="00FF069A"/>
    <w:rsid w:val="00FF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82"/>
    <w:pPr>
      <w:spacing w:after="0" w:line="240" w:lineRule="auto"/>
    </w:pPr>
    <w:rPr>
      <w:rFonts w:ascii="Arial" w:eastAsiaTheme="minorEastAsia" w:hAnsi="Arial" w:cs="Arial"/>
      <w:color w:val="000000" w:themeColor="text1"/>
      <w:sz w:val="24"/>
      <w:szCs w:val="24"/>
      <w:lang w:eastAsia="en-GB"/>
    </w:rPr>
  </w:style>
  <w:style w:type="paragraph" w:styleId="Heading1">
    <w:name w:val="heading 1"/>
    <w:basedOn w:val="Normal"/>
    <w:next w:val="Normal"/>
    <w:link w:val="Heading1Char"/>
    <w:uiPriority w:val="9"/>
    <w:qFormat/>
    <w:rsid w:val="003A4B82"/>
    <w:pPr>
      <w:spacing w:after="120"/>
      <w:outlineLvl w:val="0"/>
    </w:pPr>
    <w:rPr>
      <w:rFonts w:eastAsiaTheme="minorHAnsi"/>
      <w:b/>
      <w:color w:val="004785"/>
      <w:sz w:val="32"/>
      <w:szCs w:val="32"/>
      <w:lang w:eastAsia="en-US"/>
    </w:rPr>
  </w:style>
  <w:style w:type="paragraph" w:styleId="Heading2">
    <w:name w:val="heading 2"/>
    <w:basedOn w:val="Normal"/>
    <w:next w:val="Normal"/>
    <w:link w:val="Heading2Char"/>
    <w:uiPriority w:val="9"/>
    <w:unhideWhenUsed/>
    <w:qFormat/>
    <w:rsid w:val="00532963"/>
    <w:pPr>
      <w:numPr>
        <w:numId w:val="19"/>
      </w:numPr>
      <w:spacing w:after="120" w:line="276" w:lineRule="auto"/>
      <w:ind w:left="425" w:hanging="425"/>
      <w:contextualSpacing/>
      <w:outlineLvl w:val="1"/>
    </w:pPr>
    <w:rPr>
      <w:rFonts w:eastAsiaTheme="minorHAnsi"/>
      <w:b/>
      <w:color w:val="00A2E5"/>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532963"/>
    <w:rPr>
      <w:rFonts w:ascii="Arial" w:hAnsi="Arial" w:cs="Arial"/>
      <w:b/>
      <w:color w:val="00A2E5"/>
      <w:sz w:val="28"/>
      <w:szCs w:val="28"/>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semiHidden/>
    <w:unhideWhenUsed/>
    <w:rsid w:val="008D4A72"/>
    <w:rPr>
      <w:sz w:val="20"/>
      <w:szCs w:val="20"/>
    </w:rPr>
  </w:style>
  <w:style w:type="character" w:customStyle="1" w:styleId="CommentTextChar">
    <w:name w:val="Comment Text Char"/>
    <w:basedOn w:val="DefaultParagraphFont"/>
    <w:link w:val="CommentText"/>
    <w:uiPriority w:val="99"/>
    <w:semiHidden/>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character" w:customStyle="1" w:styleId="Heading1Char">
    <w:name w:val="Heading 1 Char"/>
    <w:basedOn w:val="DefaultParagraphFont"/>
    <w:link w:val="Heading1"/>
    <w:uiPriority w:val="9"/>
    <w:rsid w:val="003A4B82"/>
    <w:rPr>
      <w:rFonts w:ascii="Arial" w:hAnsi="Arial" w:cs="Arial"/>
      <w:b/>
      <w:color w:val="004785"/>
      <w:sz w:val="32"/>
      <w:szCs w:val="32"/>
    </w:rPr>
  </w:style>
  <w:style w:type="paragraph" w:styleId="Bibliography">
    <w:name w:val="Bibliography"/>
    <w:basedOn w:val="Normal"/>
    <w:next w:val="Normal"/>
    <w:uiPriority w:val="37"/>
    <w:semiHidden/>
    <w:unhideWhenUsed/>
    <w:rsid w:val="00AA4213"/>
  </w:style>
  <w:style w:type="table" w:customStyle="1" w:styleId="TableGrid1">
    <w:name w:val="Table Grid1"/>
    <w:basedOn w:val="TableNormal"/>
    <w:next w:val="TableGrid"/>
    <w:uiPriority w:val="39"/>
    <w:rsid w:val="00AA421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4B82"/>
    <w:rPr>
      <w:b/>
      <w:color w:val="004785"/>
      <w:sz w:val="44"/>
      <w:szCs w:val="44"/>
    </w:rPr>
  </w:style>
  <w:style w:type="character" w:customStyle="1" w:styleId="TitleChar">
    <w:name w:val="Title Char"/>
    <w:basedOn w:val="DefaultParagraphFont"/>
    <w:link w:val="Title"/>
    <w:uiPriority w:val="10"/>
    <w:rsid w:val="003A4B82"/>
    <w:rPr>
      <w:rFonts w:ascii="Arial" w:eastAsiaTheme="minorEastAsia" w:hAnsi="Arial" w:cs="Arial"/>
      <w:b/>
      <w:color w:val="004785"/>
      <w:sz w:val="44"/>
      <w:szCs w:val="44"/>
      <w:lang w:eastAsia="en-GB"/>
    </w:rPr>
  </w:style>
  <w:style w:type="paragraph" w:styleId="Subtitle">
    <w:name w:val="Subtitle"/>
    <w:basedOn w:val="Normal"/>
    <w:next w:val="Normal"/>
    <w:link w:val="SubtitleChar"/>
    <w:uiPriority w:val="11"/>
    <w:qFormat/>
    <w:rsid w:val="003A4B82"/>
    <w:rPr>
      <w:bCs/>
      <w:color w:val="004785"/>
      <w:sz w:val="44"/>
      <w:szCs w:val="44"/>
    </w:rPr>
  </w:style>
  <w:style w:type="character" w:customStyle="1" w:styleId="SubtitleChar">
    <w:name w:val="Subtitle Char"/>
    <w:basedOn w:val="DefaultParagraphFont"/>
    <w:link w:val="Subtitle"/>
    <w:uiPriority w:val="11"/>
    <w:rsid w:val="003A4B82"/>
    <w:rPr>
      <w:rFonts w:ascii="Arial" w:eastAsiaTheme="minorEastAsia" w:hAnsi="Arial" w:cs="Arial"/>
      <w:bCs/>
      <w:color w:val="004785"/>
      <w:sz w:val="44"/>
      <w:szCs w:val="44"/>
      <w:lang w:eastAsia="en-GB"/>
    </w:rPr>
  </w:style>
  <w:style w:type="character" w:styleId="IntenseEmphasis">
    <w:name w:val="Intense Emphasis"/>
    <w:aliases w:val="Q-Pulse Footer"/>
    <w:uiPriority w:val="21"/>
    <w:qFormat/>
    <w:rsid w:val="003A4B82"/>
    <w:rPr>
      <w:rFonts w:ascii="Arial" w:hAnsi="Arial" w:cs="Arial"/>
      <w:color w:val="004785"/>
      <w:sz w:val="20"/>
      <w:szCs w:val="20"/>
    </w:rPr>
  </w:style>
  <w:style w:type="character" w:styleId="SubtleEmphasis">
    <w:name w:val="Subtle Emphasis"/>
    <w:aliases w:val="Network Header"/>
    <w:uiPriority w:val="19"/>
    <w:qFormat/>
    <w:rsid w:val="003A4B82"/>
    <w:rPr>
      <w:rFonts w:ascii="Arial" w:eastAsiaTheme="minorEastAsia" w:hAnsi="Arial" w:cs="Arial"/>
      <w:b/>
      <w:color w:val="365F91" w:themeColor="accent1" w:themeShade="BF"/>
      <w:sz w:val="24"/>
      <w:szCs w:val="24"/>
      <w:lang w:eastAsia="en-GB"/>
    </w:rPr>
  </w:style>
  <w:style w:type="character" w:styleId="Emphasis">
    <w:name w:val="Emphasis"/>
    <w:aliases w:val="Document Header"/>
    <w:uiPriority w:val="20"/>
    <w:qFormat/>
    <w:rsid w:val="003A4B82"/>
    <w:rPr>
      <w:rFonts w:ascii="Arial" w:eastAsiaTheme="minorEastAsia" w:hAnsi="Arial" w:cs="Arial"/>
      <w:bCs/>
      <w:color w:val="365F91" w:themeColor="accent1" w:themeShade="BF"/>
      <w:sz w:val="24"/>
      <w:szCs w:val="24"/>
      <w:lang w:eastAsia="en-GB"/>
    </w:rPr>
  </w:style>
  <w:style w:type="paragraph" w:styleId="TOCHeading">
    <w:name w:val="TOC Heading"/>
    <w:basedOn w:val="Heading1"/>
    <w:next w:val="Normal"/>
    <w:uiPriority w:val="39"/>
    <w:unhideWhenUsed/>
    <w:qFormat/>
    <w:rsid w:val="003A4B82"/>
    <w:pPr>
      <w:keepNext/>
      <w:keepLines/>
      <w:spacing w:before="240" w:after="0" w:line="259" w:lineRule="auto"/>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3A4B82"/>
    <w:pPr>
      <w:spacing w:after="100"/>
    </w:pPr>
  </w:style>
  <w:style w:type="paragraph" w:styleId="TOC2">
    <w:name w:val="toc 2"/>
    <w:basedOn w:val="Normal"/>
    <w:next w:val="Normal"/>
    <w:autoRedefine/>
    <w:uiPriority w:val="39"/>
    <w:unhideWhenUsed/>
    <w:rsid w:val="003A4B82"/>
    <w:pPr>
      <w:spacing w:after="100"/>
      <w:ind w:left="240"/>
    </w:pPr>
  </w:style>
  <w:style w:type="table" w:customStyle="1" w:styleId="TableGrid11">
    <w:name w:val="Table Grid11"/>
    <w:basedOn w:val="TableNormal"/>
    <w:next w:val="TableGrid"/>
    <w:uiPriority w:val="39"/>
    <w:rsid w:val="008D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lican.scot.nhs.uk/guidance-documents/" TargetMode="External"/><Relationship Id="rId18" Type="http://schemas.openxmlformats.org/officeDocument/2006/relationships/hyperlink" Target="https://www.appm.org.uk/guidelines-resources/appm-master-formular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togetherforshortlives.org.uk/resource/end-life-planning-prompt-sheets/" TargetMode="External"/><Relationship Id="rId7" Type="http://schemas.openxmlformats.org/officeDocument/2006/relationships/endnotes" Target="endnotes.xml"/><Relationship Id="rId12" Type="http://schemas.openxmlformats.org/officeDocument/2006/relationships/hyperlink" Target="https://www.palliativecarescotland.org.uk/content/hospices_specialist_units/" TargetMode="External"/><Relationship Id="rId17" Type="http://schemas.openxmlformats.org/officeDocument/2006/relationships/hyperlink" Target="https://www.pelican.scot.nhs.uk/guidance-document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elican.scot.nhs.uk/guidance-documents/"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nicalguidelines.scot.nhs.uk/ggc-paediatric-guidelines/ggc-guidelines/emergency-medicine/community-nursing-teams-scotland-contact-numbers/" TargetMode="External"/><Relationship Id="rId24" Type="http://schemas.openxmlformats.org/officeDocument/2006/relationships/hyperlink" Target="https://forms.office.com/Pages/ResponsePage.aspx?id=veDvEDCgykuAnLXmdF5JmuBVAwUjZalBu7dlhOa8DbZUM1lZU1c1VzYySE9ZOU9OWEhCU09KWjdBTCQlQCN0PWcu" TargetMode="External"/><Relationship Id="rId5" Type="http://schemas.openxmlformats.org/officeDocument/2006/relationships/webSettings" Target="webSettings.xml"/><Relationship Id="rId15" Type="http://schemas.openxmlformats.org/officeDocument/2006/relationships/hyperlink" Target="https://ihub.scot/project-toolkits/anticipatory-care-planning-toolkit/anticipatory-care-planning-toolkit/" TargetMode="External"/><Relationship Id="rId23" Type="http://schemas.openxmlformats.org/officeDocument/2006/relationships/hyperlink" Target="mailto:nss.pelican@nhs.scot" TargetMode="External"/><Relationship Id="rId28" Type="http://schemas.openxmlformats.org/officeDocument/2006/relationships/footer" Target="footer2.xml"/><Relationship Id="rId10" Type="http://schemas.openxmlformats.org/officeDocument/2006/relationships/hyperlink" Target="https://www.chas.org.uk/about-us/contact-us/make-a-referral" TargetMode="External"/><Relationship Id="rId19" Type="http://schemas.openxmlformats.org/officeDocument/2006/relationships/hyperlink" Target="https://www.palliativedrug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ebarchive.org.uk/wayback/archive/3000/https:/www.gov.scot/Resource/0039/00398438.pdf" TargetMode="External"/><Relationship Id="rId22" Type="http://schemas.openxmlformats.org/officeDocument/2006/relationships/hyperlink" Target="https://www.chas.org.uk/about-us/contact-us/make-a-referral"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Mus</b:Tag>
    <b:SourceType>Book</b:SourceType>
    <b:Guid>{53346E08-D2AE-4F43-B328-F8568B108918}</b:Guid>
    <b:Author>
      <b:Author>
        <b:NameList>
          <b:Person>
            <b:Last>Musallam K.M.</b:Last>
            <b:First>Rivella</b:First>
            <b:Middle>S., Vichinsky E., Rachmilewitz E.A.</b:Middle>
          </b:Person>
        </b:NameList>
      </b:Author>
    </b:Author>
    <b:Title>Non-transfusion-dependent thalassemias</b:Title>
    <b:Publisher>Haematologica</b:Publisher>
    <b:Year>2013</b:Year>
    <b:Volume>98(6)</b:Volume>
    <b:Pages>833-44</b:Pages>
    <b:RefOrder>1</b:RefOrder>
  </b:Source>
  <b:Source>
    <b:Tag>Sri08</b:Tag>
    <b:SourceType>Book</b:SourceType>
    <b:Guid>{F55A3811-953D-ED44-8794-2E10591E5283}</b:Guid>
    <b:Author>
      <b:Author>
        <b:NameList>
          <b:Person>
            <b:Last>Sripichai O.</b:Last>
            <b:First>Makarasara</b:First>
            <b:Middle>W., Munkongdee T., Kumkhaek C., Nuchprayoon I., Chuansumrit A., Chuncharunee S., Chantrakoon N., Boonmongkol P., Winichagoon P., Fucharoen S.</b:Middle>
          </b:Person>
        </b:NameList>
      </b:Author>
    </b:Author>
    <b:Title>A scoreing system for the classification off beta-thalassemia/Hb E disease severity</b:Title>
    <b:Publisher>American Journal of Hematology</b:Publisher>
    <b:Year>2008</b:Year>
    <b:Volume>83(6)</b:Volume>
    <b:Pages>482-484</b:Pages>
    <b:RefOrder>2</b:RefOrder>
  </b:Source>
  <b:Source>
    <b:Tag>Har09</b:Tag>
    <b:SourceType>Book</b:SourceType>
    <b:Guid>{18272BDC-E55C-E84A-9E75-9D9E205B5052}</b:Guid>
    <b:Author>
      <b:Author>
        <b:NameList>
          <b:Person>
            <b:Last>Harris A.M.</b:Last>
            <b:First>Atterbury</b:First>
            <b:Middle>C.L.J., Chaffe B., Elliott C., Hawkins T., Hennem S.J., Howell C., Jones J., Murray S., New H.V., Norfolk D, Pirie L., Russell J., Taylor C.</b:Middle>
          </b:Person>
        </b:NameList>
      </b:Author>
    </b:Author>
    <b:Title>Guideline on the Administration of Blood Components</b:Title>
    <b:Publisher>Brittish Committee for Standards in Haematology</b:Publisher>
    <b:Year>2009</b:Year>
    <b:RefOrder>5</b:RefOrder>
  </b:Source>
  <b:Source>
    <b:Tag>Cap14</b:Tag>
    <b:SourceType>Book</b:SourceType>
    <b:Guid>{A7590EE4-B8B5-8A48-99D3-639AFDBFA0C5}</b:Guid>
    <b:Author>
      <b:Author>
        <b:NameList>
          <b:Person>
            <b:Last>Cappellini M.D.</b:Last>
            <b:First>Cohen</b:First>
            <b:Middle>A., Porter J., Taher A., Viprakasit V.</b:Middle>
          </b:Person>
        </b:NameList>
      </b:Author>
    </b:Author>
    <b:Title>Guidelines for the management of transfusion dependent thalassaemia (TDT)</b:Title>
    <b:Publisher>Thalassaemia International Federation</b:Publisher>
    <b:Year>2014</b:Year>
    <b:RefOrder>7</b:RefOrder>
  </b:Source>
  <b:Source>
    <b:Tag>Tah13</b:Tag>
    <b:SourceType>Book</b:SourceType>
    <b:Guid>{4650A615-8F26-4044-BC6D-7DE02F0B13DC}</b:Guid>
    <b:Author>
      <b:Author>
        <b:NameList>
          <b:Person>
            <b:Last>Taher A.</b:Last>
            <b:First>Vichinsky</b:First>
            <b:Middle>E., Musallam K., Cappellini M.D., Viprakasit V.</b:Middle>
          </b:Person>
        </b:NameList>
      </b:Author>
    </b:Author>
    <b:Title>Guidelines for the management of non transfusion dependent thalassaemia (NTDT)</b:Title>
    <b:Publisher>Thalassaemia International Federation</b:Publisher>
    <b:Year>2013</b:Year>
    <b:RefOrder>4</b:RefOrder>
  </b:Source>
  <b:Source>
    <b:Tag>Bai12</b:Tag>
    <b:SourceType>Book</b:SourceType>
    <b:Guid>{CEC3D4AE-A6AE-A34E-8AA5-81B25ADD1244}</b:Guid>
    <b:Author>
      <b:Author>
        <b:NameList>
          <b:Person>
            <b:Last>Bain B.</b:Last>
            <b:First>Farrar</b:First>
            <b:Middle>L, Henthorn J., Old J., Rees D., Roper D., Stephens A., Streetly A., Wild B.</b:Middle>
          </b:Person>
        </b:NameList>
      </b:Author>
    </b:Author>
    <b:Title>Sickle Cell and Thalassaemia Handbook for Laboratories</b:Title>
    <b:Publisher>NHS Sickle Cell and Thalassaemia Screening Programme</b:Publisher>
    <b:Year>2012</b:Year>
    <b:RefOrder>3</b:RefOrder>
  </b:Source>
  <b:Source>
    <b:Tag>Dav</b:Tag>
    <b:SourceType>Book</b:SourceType>
    <b:Guid>{3805F260-1175-F746-B7E7-81B46CD6A3F7}</b:Guid>
    <b:Author>
      <b:Author>
        <b:NameList>
          <b:Person>
            <b:Last>Davies J.M.</b:Last>
            <b:First>Lewis</b:First>
            <b:Middle>M.P.N., Wimperis J., Rafi I., Ladhani S., Bolton-Maggs P.H.B.</b:Middle>
          </b:Person>
        </b:NameList>
      </b:Author>
    </b:Author>
    <b:Title>Review of guidelines for the prevention and treatment of infection in patients with an absent or dysfunctional spleen: Prepared on behalf of the British Committee for Standards in Haematology by a Working Party of the Haemato-Oncology Task Force</b:Title>
    <b:Publisher>British Journal of Haematology</b:Publisher>
    <b:Volume>155</b:Volume>
    <b:Pages>308-317</b:Pages>
    <b:Year>2011</b:Year>
    <b:RefOrder>6</b:RefOrder>
  </b:Source>
</b:Sources>
</file>

<file path=customXml/itemProps1.xml><?xml version="1.0" encoding="utf-8"?>
<ds:datastoreItem xmlns:ds="http://schemas.openxmlformats.org/officeDocument/2006/customXml" ds:itemID="{05DD38A0-BBA3-4D25-ACAB-D0036D03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Luke Rush</cp:lastModifiedBy>
  <cp:revision>1</cp:revision>
  <cp:lastPrinted>2023-01-06T11:35:00Z</cp:lastPrinted>
  <dcterms:created xsi:type="dcterms:W3CDTF">2023-09-26T11:44:00Z</dcterms:created>
  <dcterms:modified xsi:type="dcterms:W3CDTF">2023-09-26T11:44:00Z</dcterms:modified>
</cp:coreProperties>
</file>