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F59" w:rsidRDefault="00371997" w:rsidP="00CE330E">
      <w:r>
        <w:rPr>
          <w:noProof/>
        </w:rPr>
        <w:drawing>
          <wp:anchor distT="0" distB="0" distL="114300" distR="114300" simplePos="0" relativeHeight="251659264" behindDoc="0" locked="0" layoutInCell="1" allowOverlap="1" wp14:anchorId="06ACA252" wp14:editId="363D2C5F">
            <wp:simplePos x="0" y="0"/>
            <wp:positionH relativeFrom="column">
              <wp:posOffset>4898390</wp:posOffset>
            </wp:positionH>
            <wp:positionV relativeFrom="page">
              <wp:posOffset>327467</wp:posOffset>
            </wp:positionV>
            <wp:extent cx="997459" cy="655607"/>
            <wp:effectExtent l="0" t="0" r="0" b="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459" cy="655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5F59" w:rsidRDefault="00295F59" w:rsidP="00CE330E"/>
    <w:p w:rsidR="00EC23F5" w:rsidRPr="00E72699" w:rsidRDefault="00C018AA" w:rsidP="00E60FB8">
      <w:pPr>
        <w:pStyle w:val="Title"/>
      </w:pPr>
      <w:r w:rsidRPr="00C018AA">
        <w:rPr>
          <w:noProof/>
        </w:rPr>
        <w:drawing>
          <wp:inline distT="0" distB="0" distL="0" distR="0" wp14:anchorId="316769CD" wp14:editId="1C33E2B0">
            <wp:extent cx="1005840" cy="603250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F59" w:rsidRDefault="00C018AA" w:rsidP="00CE330E">
      <w:pPr>
        <w:rPr>
          <w:b/>
          <w:color w:val="004785"/>
          <w:sz w:val="44"/>
          <w:szCs w:val="44"/>
        </w:rPr>
      </w:pPr>
      <w:r w:rsidRPr="00C018AA">
        <w:rPr>
          <w:b/>
          <w:color w:val="004785"/>
          <w:sz w:val="44"/>
          <w:szCs w:val="44"/>
        </w:rPr>
        <w:t>Paediatric End of Life managed Care Network (PELiCaN)</w:t>
      </w:r>
    </w:p>
    <w:p w:rsidR="005A1EDC" w:rsidRDefault="004C3A3F" w:rsidP="00CE330E">
      <w:r w:rsidRPr="004C3A3F">
        <w:rPr>
          <w:bCs/>
          <w:color w:val="004785"/>
          <w:sz w:val="44"/>
          <w:szCs w:val="44"/>
        </w:rPr>
        <w:t>Clinical Lead Checklist – Post Child Death</w:t>
      </w:r>
    </w:p>
    <w:p w:rsidR="00295F59" w:rsidRDefault="00295F59" w:rsidP="00CE330E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35"/>
        <w:gridCol w:w="3063"/>
        <w:gridCol w:w="2127"/>
        <w:gridCol w:w="1791"/>
      </w:tblGrid>
      <w:tr w:rsidR="00E60FB8" w:rsidTr="00E60FB8">
        <w:trPr>
          <w:trHeight w:val="397"/>
        </w:trPr>
        <w:tc>
          <w:tcPr>
            <w:tcW w:w="2035" w:type="dxa"/>
            <w:vAlign w:val="center"/>
          </w:tcPr>
          <w:p w:rsidR="00E60FB8" w:rsidRPr="00E60FB8" w:rsidRDefault="00E60FB8" w:rsidP="00E60FB8">
            <w:pPr>
              <w:rPr>
                <w:b/>
                <w:bCs/>
              </w:rPr>
            </w:pPr>
            <w:r w:rsidRPr="00E60FB8">
              <w:rPr>
                <w:b/>
                <w:bCs/>
              </w:rPr>
              <w:t>Child’s Name:</w:t>
            </w:r>
          </w:p>
        </w:tc>
        <w:tc>
          <w:tcPr>
            <w:tcW w:w="3063" w:type="dxa"/>
            <w:vAlign w:val="center"/>
          </w:tcPr>
          <w:p w:rsidR="00E60FB8" w:rsidRDefault="00E60FB8" w:rsidP="00E60FB8"/>
        </w:tc>
        <w:tc>
          <w:tcPr>
            <w:tcW w:w="2127" w:type="dxa"/>
            <w:vAlign w:val="center"/>
          </w:tcPr>
          <w:p w:rsidR="00E60FB8" w:rsidRPr="00E60FB8" w:rsidRDefault="00E60FB8" w:rsidP="00E60FB8">
            <w:pPr>
              <w:rPr>
                <w:b/>
                <w:bCs/>
              </w:rPr>
            </w:pPr>
            <w:r w:rsidRPr="00E60FB8">
              <w:rPr>
                <w:b/>
                <w:bCs/>
              </w:rPr>
              <w:t>Date of Death:</w:t>
            </w:r>
          </w:p>
        </w:tc>
        <w:tc>
          <w:tcPr>
            <w:tcW w:w="1791" w:type="dxa"/>
            <w:vAlign w:val="center"/>
          </w:tcPr>
          <w:p w:rsidR="00E60FB8" w:rsidRDefault="00E60FB8" w:rsidP="00E60FB8"/>
        </w:tc>
      </w:tr>
      <w:tr w:rsidR="00E60FB8" w:rsidTr="00E60FB8">
        <w:trPr>
          <w:trHeight w:val="397"/>
        </w:trPr>
        <w:tc>
          <w:tcPr>
            <w:tcW w:w="2035" w:type="dxa"/>
            <w:vAlign w:val="center"/>
          </w:tcPr>
          <w:p w:rsidR="00E60FB8" w:rsidRPr="00E60FB8" w:rsidRDefault="00E60FB8" w:rsidP="00E60FB8">
            <w:pPr>
              <w:rPr>
                <w:b/>
                <w:bCs/>
              </w:rPr>
            </w:pPr>
            <w:r w:rsidRPr="00E60FB8">
              <w:rPr>
                <w:b/>
                <w:bCs/>
              </w:rPr>
              <w:t>DoB/CHI:</w:t>
            </w:r>
          </w:p>
        </w:tc>
        <w:tc>
          <w:tcPr>
            <w:tcW w:w="3063" w:type="dxa"/>
            <w:vAlign w:val="center"/>
          </w:tcPr>
          <w:p w:rsidR="00E60FB8" w:rsidRDefault="00E60FB8" w:rsidP="00E60FB8"/>
        </w:tc>
        <w:tc>
          <w:tcPr>
            <w:tcW w:w="2127" w:type="dxa"/>
            <w:vAlign w:val="center"/>
          </w:tcPr>
          <w:p w:rsidR="00E60FB8" w:rsidRPr="00E60FB8" w:rsidRDefault="00E60FB8" w:rsidP="00E60FB8">
            <w:pPr>
              <w:rPr>
                <w:b/>
                <w:bCs/>
              </w:rPr>
            </w:pPr>
            <w:r w:rsidRPr="00E60FB8">
              <w:rPr>
                <w:b/>
                <w:bCs/>
              </w:rPr>
              <w:t xml:space="preserve">Place of Death: </w:t>
            </w:r>
          </w:p>
        </w:tc>
        <w:tc>
          <w:tcPr>
            <w:tcW w:w="1791" w:type="dxa"/>
            <w:vAlign w:val="center"/>
          </w:tcPr>
          <w:p w:rsidR="00E60FB8" w:rsidRDefault="00E60FB8" w:rsidP="00E60FB8"/>
        </w:tc>
      </w:tr>
    </w:tbl>
    <w:p w:rsidR="006810E2" w:rsidRDefault="006810E2" w:rsidP="00CE330E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1417"/>
        <w:gridCol w:w="425"/>
        <w:gridCol w:w="143"/>
        <w:gridCol w:w="5811"/>
        <w:gridCol w:w="568"/>
      </w:tblGrid>
      <w:tr w:rsidR="00E60FB8" w:rsidTr="00E60FB8">
        <w:trPr>
          <w:trHeight w:val="20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E60FB8" w:rsidRPr="006810E2" w:rsidRDefault="00E60FB8" w:rsidP="00E60FB8">
            <w:pPr>
              <w:rPr>
                <w:b/>
                <w:bCs/>
              </w:rPr>
            </w:pPr>
            <w:r w:rsidRPr="006810E2">
              <w:rPr>
                <w:b/>
                <w:bCs/>
              </w:rPr>
              <w:t>1)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 w:rsidRPr="006810E2">
              <w:rPr>
                <w:b/>
                <w:bCs/>
              </w:rPr>
              <w:t>A responsible clinician has been identified for this patient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Pr="006810E2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t>Name: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Pr="006810E2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t>Role: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 w:val="restart"/>
            <w:shd w:val="clear" w:color="auto" w:fill="auto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60FB8" w:rsidRPr="006810E2" w:rsidRDefault="00E60FB8" w:rsidP="00E60FB8">
            <w:r w:rsidRPr="006810E2">
              <w:rPr>
                <w:b/>
                <w:bCs/>
              </w:rPr>
              <w:t>All teams involved with caring for the child have been identified and contacted</w:t>
            </w:r>
            <w:r>
              <w:rPr>
                <w:b/>
                <w:bCs/>
              </w:rPr>
              <w:t xml:space="preserve"> </w:t>
            </w:r>
            <w:r w:rsidRPr="006810E2">
              <w:t>(See list in Appendix 1 for suggested contacts)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1018"/>
        </w:trPr>
        <w:tc>
          <w:tcPr>
            <w:tcW w:w="563" w:type="dxa"/>
            <w:vMerge/>
            <w:shd w:val="clear" w:color="auto" w:fill="auto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t>Notes: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DATIX entry has been completed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60FB8" w:rsidRDefault="00E60FB8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 xml:space="preserve">Completed Serious Adverse Event Review (SAER) briefing </w:t>
            </w:r>
            <w:proofErr w:type="gramStart"/>
            <w:r w:rsidRPr="00CE330E">
              <w:rPr>
                <w:b/>
                <w:bCs/>
              </w:rPr>
              <w:t>note</w:t>
            </w:r>
            <w:proofErr w:type="gramEnd"/>
          </w:p>
          <w:p w:rsidR="00E60FB8" w:rsidRPr="00CE330E" w:rsidRDefault="00E60FB8" w:rsidP="00E60FB8">
            <w:pPr>
              <w:rPr>
                <w:i/>
                <w:iCs/>
              </w:rPr>
            </w:pPr>
            <w:r w:rsidRPr="00CE330E">
              <w:rPr>
                <w:i/>
                <w:iCs/>
              </w:rPr>
              <w:t>if applicable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5)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Default="00E60FB8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>Completed referral to Procurator Fiscal (EF5 form)</w:t>
            </w:r>
            <w:r>
              <w:rPr>
                <w:b/>
                <w:bCs/>
              </w:rPr>
              <w:t xml:space="preserve"> </w:t>
            </w:r>
            <w:r w:rsidRPr="00CE330E">
              <w:rPr>
                <w:i/>
                <w:iCs/>
              </w:rPr>
              <w:t>if applicable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E60FB8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6)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60FB8" w:rsidRDefault="00E60FB8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>Hospital post-mortem considered (medical team must write a death certificate)</w:t>
            </w:r>
            <w:r w:rsidRPr="00CE330E">
              <w:rPr>
                <w:i/>
                <w:iCs/>
              </w:rPr>
              <w:t xml:space="preserve"> if applicable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E60FB8" w:rsidRPr="006810E2" w:rsidRDefault="00E60FB8" w:rsidP="00E60FB8">
            <w:pPr>
              <w:rPr>
                <w:b/>
                <w:bCs/>
              </w:rPr>
            </w:pPr>
            <w:bookmarkStart w:id="0" w:name="_Hlk139823286"/>
            <w:r>
              <w:rPr>
                <w:b/>
                <w:bCs/>
              </w:rPr>
              <w:t>7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>Medical Certificate of Cause of Death (MCCD) Completed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bookmarkEnd w:id="0"/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E60FB8" w:rsidRPr="00CE330E" w:rsidRDefault="00E60FB8" w:rsidP="00E60FB8">
            <w:pPr>
              <w:rPr>
                <w:b/>
                <w:bCs/>
              </w:rPr>
            </w:pPr>
            <w:r>
              <w:t>Completed by: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E60FB8" w:rsidRPr="00CE330E" w:rsidRDefault="00E60FB8" w:rsidP="00E60FB8">
            <w:pPr>
              <w:rPr>
                <w:b/>
                <w:bCs/>
              </w:rPr>
            </w:pPr>
            <w:r>
              <w:t>Role: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 w:val="restart"/>
            <w:shd w:val="clear" w:color="auto" w:fill="auto"/>
          </w:tcPr>
          <w:p w:rsidR="00E60FB8" w:rsidRPr="006810E2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E60FB8" w:rsidRPr="006810E2" w:rsidRDefault="00E60FB8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>Immediate discharge letter Completed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auto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60FB8" w:rsidRPr="00CE330E" w:rsidRDefault="00E60FB8" w:rsidP="00E60FB8">
            <w:pPr>
              <w:rPr>
                <w:b/>
                <w:bCs/>
              </w:rPr>
            </w:pPr>
            <w:r>
              <w:t>Completed by: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auto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60FB8" w:rsidRPr="00CE330E" w:rsidRDefault="00E60FB8" w:rsidP="00E60FB8">
            <w:pPr>
              <w:rPr>
                <w:b/>
                <w:bCs/>
              </w:rPr>
            </w:pPr>
            <w:r>
              <w:t>Role: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E60FB8" w:rsidRDefault="00E60FB8" w:rsidP="00E60FB8"/>
        </w:tc>
      </w:tr>
      <w:tr w:rsidR="00066ADD" w:rsidRPr="006810E2" w:rsidTr="00E60FB8">
        <w:trPr>
          <w:trHeight w:val="20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8364" w:type="dxa"/>
            <w:gridSpan w:val="5"/>
            <w:shd w:val="clear" w:color="auto" w:fill="F2F2F2" w:themeFill="background1" w:themeFillShade="F2"/>
            <w:vAlign w:val="center"/>
          </w:tcPr>
          <w:p w:rsidR="00066ADD" w:rsidRPr="006810E2" w:rsidRDefault="00066ADD" w:rsidP="00E60FB8">
            <w:pPr>
              <w:rPr>
                <w:b/>
                <w:bCs/>
              </w:rPr>
            </w:pPr>
            <w:r w:rsidRPr="00CE330E">
              <w:rPr>
                <w:b/>
                <w:bCs/>
              </w:rPr>
              <w:t>Agreement with family that following death the child’s body will be transferred to:</w:t>
            </w:r>
          </w:p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>Home (using a CuddleCot or Flexmort system)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 xml:space="preserve">Hospice (rainbow room- prior agreement required before offer) 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>Hospital Mortuary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>Funeral directors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>Place of Spiritual Worship (</w:t>
            </w:r>
            <w:proofErr w:type="gramStart"/>
            <w:r w:rsidRPr="00CD1227">
              <w:t>e.g.</w:t>
            </w:r>
            <w:proofErr w:type="gramEnd"/>
            <w:r w:rsidRPr="00CD1227">
              <w:t xml:space="preserve"> Mosque)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D1227">
              <w:t>Other:</w:t>
            </w:r>
          </w:p>
        </w:tc>
        <w:tc>
          <w:tcPr>
            <w:tcW w:w="6522" w:type="dxa"/>
            <w:gridSpan w:val="3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</w:p>
        </w:tc>
        <w:tc>
          <w:tcPr>
            <w:tcW w:w="8364" w:type="dxa"/>
            <w:gridSpan w:val="5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CE330E">
              <w:rPr>
                <w:b/>
                <w:bCs/>
                <w:i/>
                <w:iCs/>
                <w:color w:val="00B0F0"/>
              </w:rPr>
              <w:t>Key Suggestion:</w:t>
            </w:r>
            <w:r w:rsidRPr="00CE330E">
              <w:rPr>
                <w:i/>
                <w:iCs/>
                <w:color w:val="00B0F0"/>
              </w:rPr>
              <w:t xml:space="preserve"> </w:t>
            </w:r>
            <w:r w:rsidRPr="00CE330E">
              <w:rPr>
                <w:i/>
                <w:iCs/>
              </w:rPr>
              <w:t xml:space="preserve">It may be useful to look at the </w:t>
            </w:r>
            <w:hyperlink r:id="rId10" w:history="1">
              <w:r w:rsidRPr="001165DA">
                <w:rPr>
                  <w:rStyle w:val="Hyperlink"/>
                  <w:i/>
                  <w:iCs/>
                </w:rPr>
                <w:t>SCYPPCN guidance for taking a child home after death</w:t>
              </w:r>
            </w:hyperlink>
            <w:r w:rsidRPr="001165DA">
              <w:rPr>
                <w:i/>
                <w:iCs/>
              </w:rPr>
              <w:t xml:space="preserve"> document</w:t>
            </w:r>
            <w:r w:rsidRPr="00CE330E">
              <w:rPr>
                <w:i/>
                <w:iCs/>
              </w:rPr>
              <w:t xml:space="preserve"> this point.</w:t>
            </w:r>
          </w:p>
        </w:tc>
      </w:tr>
      <w:tr w:rsidR="00066ADD" w:rsidTr="00E60FB8">
        <w:trPr>
          <w:trHeight w:val="20"/>
        </w:trPr>
        <w:tc>
          <w:tcPr>
            <w:tcW w:w="563" w:type="dxa"/>
            <w:vMerge w:val="restart"/>
            <w:shd w:val="clear" w:color="auto" w:fill="auto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10)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Pr="006810E2" w:rsidRDefault="00066ADD" w:rsidP="00E60FB8">
            <w:r w:rsidRPr="00066ADD">
              <w:rPr>
                <w:b/>
                <w:bCs/>
              </w:rPr>
              <w:t>Offer additional memory making to parents before child goes to mortuary/home/hospice (e.g., Hand and footprints, lock of hair)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148"/>
        </w:trPr>
        <w:tc>
          <w:tcPr>
            <w:tcW w:w="563" w:type="dxa"/>
            <w:vMerge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6ADD" w:rsidRDefault="00066ADD" w:rsidP="00E60FB8">
            <w:r>
              <w:t>Notes:</w:t>
            </w:r>
          </w:p>
        </w:tc>
        <w:tc>
          <w:tcPr>
            <w:tcW w:w="6947" w:type="dxa"/>
            <w:gridSpan w:val="4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6810E2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>Agree who will contact the family in 48 hours following death to offer support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Default="00066ADD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b/>
                <w:bCs/>
              </w:rPr>
            </w:pPr>
            <w:r>
              <w:t>Name: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066ADD" w:rsidRDefault="00066ADD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2F2F2" w:themeFill="background1" w:themeFillShade="F2"/>
            <w:vAlign w:val="center"/>
          </w:tcPr>
          <w:p w:rsidR="00066ADD" w:rsidRPr="00CE330E" w:rsidRDefault="00066ADD" w:rsidP="00E60FB8">
            <w:pPr>
              <w:rPr>
                <w:b/>
                <w:bCs/>
              </w:rPr>
            </w:pPr>
            <w:r>
              <w:t>Role: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 w:val="restart"/>
            <w:shd w:val="clear" w:color="auto" w:fill="auto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Pr="006810E2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 xml:space="preserve">Agree who will offer the family follow up contact in the future? </w:t>
            </w:r>
            <w:r w:rsidRPr="00E60FB8">
              <w:rPr>
                <w:i/>
                <w:iCs/>
              </w:rPr>
              <w:t xml:space="preserve">E.g., 6 weeks post-death, anniversaries, Christmas, </w:t>
            </w:r>
            <w:r w:rsidR="00E60FB8" w:rsidRPr="00E60FB8">
              <w:rPr>
                <w:i/>
                <w:iCs/>
              </w:rPr>
              <w:t>1-year</w:t>
            </w:r>
            <w:r w:rsidRPr="00E60FB8">
              <w:rPr>
                <w:i/>
                <w:iCs/>
              </w:rPr>
              <w:t xml:space="preserve"> post-death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66ADD" w:rsidRPr="00CE330E" w:rsidRDefault="00066ADD" w:rsidP="00E60FB8">
            <w:pPr>
              <w:rPr>
                <w:b/>
                <w:bCs/>
              </w:rPr>
            </w:pPr>
            <w:r>
              <w:t>Name: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vMerge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66ADD" w:rsidRPr="00CE330E" w:rsidRDefault="00066ADD" w:rsidP="00E60FB8">
            <w:pPr>
              <w:rPr>
                <w:b/>
                <w:bCs/>
              </w:rPr>
            </w:pPr>
            <w:r>
              <w:t>Role: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6810E2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 xml:space="preserve">Ensure process of arranging funeral has been discussed with family and point out extra or hidden costs </w:t>
            </w:r>
            <w:r w:rsidRPr="00066ADD">
              <w:rPr>
                <w:i/>
                <w:iCs/>
              </w:rPr>
              <w:t xml:space="preserve">(see </w:t>
            </w:r>
            <w:hyperlink r:id="rId11" w:history="1">
              <w:r w:rsidRPr="00066ADD">
                <w:rPr>
                  <w:rStyle w:val="Hyperlink"/>
                  <w:i/>
                  <w:iCs/>
                </w:rPr>
                <w:t>Funeral Costs in Scotland</w:t>
              </w:r>
            </w:hyperlink>
            <w:r w:rsidRPr="00066ADD">
              <w:rPr>
                <w:i/>
                <w:iCs/>
              </w:rPr>
              <w:t xml:space="preserve"> document)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066ADD" w:rsidRPr="006810E2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6810E2">
              <w:rPr>
                <w:b/>
                <w:bCs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Pr="00CE330E" w:rsidRDefault="00066ADD" w:rsidP="00E60FB8">
            <w:pPr>
              <w:rPr>
                <w:i/>
                <w:iCs/>
              </w:rPr>
            </w:pPr>
            <w:r w:rsidRPr="00066ADD">
              <w:rPr>
                <w:b/>
                <w:bCs/>
              </w:rPr>
              <w:t xml:space="preserve">Funeral representation agreed within the team? </w:t>
            </w:r>
            <w:r w:rsidRPr="00066ADD">
              <w:rPr>
                <w:i/>
                <w:iCs/>
              </w:rPr>
              <w:t>I</w:t>
            </w:r>
            <w:r w:rsidRPr="00CE330E">
              <w:rPr>
                <w:i/>
                <w:iCs/>
              </w:rPr>
              <w:t>f applicable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15)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 xml:space="preserve">Arrange a ‘hot’ debrief within 72 hours if there has been a sudden or traumatic event </w:t>
            </w:r>
            <w:r>
              <w:rPr>
                <w:i/>
                <w:iCs/>
              </w:rPr>
              <w:t>If</w:t>
            </w:r>
            <w:r w:rsidRPr="00CE330E">
              <w:rPr>
                <w:i/>
                <w:iCs/>
              </w:rPr>
              <w:t xml:space="preserve"> applicable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16)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 xml:space="preserve">Arrange a holistic debrief in 4-6 weeks </w:t>
            </w:r>
            <w:r>
              <w:rPr>
                <w:i/>
                <w:iCs/>
              </w:rPr>
              <w:t>I</w:t>
            </w:r>
            <w:r w:rsidRPr="00CE330E">
              <w:rPr>
                <w:i/>
                <w:iCs/>
              </w:rPr>
              <w:t>f applicable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17)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>Arrange Local Team Based Quality Review presentation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18)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P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>Notify child’s case to local Child Death Review team by email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F2F2F2" w:themeFill="background1" w:themeFillShade="F2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19)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066ADD" w:rsidRP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>Consider family referral to Health Board Welfare Officers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66ADD" w:rsidRDefault="00066ADD" w:rsidP="00E60FB8"/>
        </w:tc>
      </w:tr>
      <w:tr w:rsidR="00066ADD" w:rsidTr="00E60FB8">
        <w:trPr>
          <w:trHeight w:val="20"/>
        </w:trPr>
        <w:tc>
          <w:tcPr>
            <w:tcW w:w="563" w:type="dxa"/>
            <w:shd w:val="clear" w:color="auto" w:fill="auto"/>
          </w:tcPr>
          <w:p w:rsidR="00066ADD" w:rsidRDefault="00066ADD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20)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066ADD" w:rsidRPr="00066ADD" w:rsidRDefault="00066ADD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 xml:space="preserve">Close </w:t>
            </w:r>
            <w:hyperlink r:id="rId12" w:history="1">
              <w:r w:rsidRPr="000E128C">
                <w:rPr>
                  <w:rStyle w:val="Hyperlink"/>
                  <w:b/>
                  <w:bCs/>
                </w:rPr>
                <w:t>occurrence marker</w:t>
              </w:r>
            </w:hyperlink>
            <w:r w:rsidRPr="00066ADD">
              <w:rPr>
                <w:b/>
                <w:bCs/>
              </w:rPr>
              <w:t xml:space="preserve"> with police and SAS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66ADD" w:rsidRDefault="00066ADD" w:rsidP="00E60FB8"/>
        </w:tc>
      </w:tr>
      <w:tr w:rsidR="00E60FB8" w:rsidTr="00E60FB8">
        <w:trPr>
          <w:trHeight w:val="20"/>
        </w:trPr>
        <w:tc>
          <w:tcPr>
            <w:tcW w:w="563" w:type="dxa"/>
            <w:vMerge w:val="restart"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  <w:r>
              <w:rPr>
                <w:b/>
                <w:bCs/>
              </w:rPr>
              <w:t>21)</w:t>
            </w: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E60FB8" w:rsidP="00E60FB8">
            <w:pPr>
              <w:rPr>
                <w:b/>
                <w:bCs/>
              </w:rPr>
            </w:pPr>
            <w:r w:rsidRPr="00066ADD">
              <w:rPr>
                <w:b/>
                <w:bCs/>
              </w:rPr>
              <w:t>Provide Family with signposting to: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E60FB8" w:rsidP="00E60FB8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066ADD">
              <w:rPr>
                <w:color w:val="333333"/>
                <w:shd w:val="clear" w:color="auto" w:fill="FFFFFF"/>
              </w:rPr>
              <w:t xml:space="preserve">To report a death to most government organisations in one go- </w:t>
            </w:r>
            <w:hyperlink r:id="rId13" w:history="1">
              <w:r w:rsidRPr="00F67DAC">
                <w:rPr>
                  <w:rStyle w:val="Hyperlink"/>
                </w:rPr>
                <w:t>‘tell us once’</w:t>
              </w:r>
            </w:hyperlink>
            <w:r w:rsidRPr="00F67DAC">
              <w:t xml:space="preserve"> phone line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E60FB8" w:rsidP="00E60FB8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066ADD">
              <w:rPr>
                <w:color w:val="222222"/>
              </w:rPr>
              <w:t>Search for local support on </w:t>
            </w:r>
            <w:hyperlink r:id="rId14" w:history="1">
              <w:r w:rsidRPr="00F67DAC">
                <w:rPr>
                  <w:rStyle w:val="Hyperlink"/>
                </w:rPr>
                <w:t>the Hub of Hope website</w:t>
              </w:r>
            </w:hyperlink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5D055C" w:rsidP="00E60FB8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hyperlink r:id="rId15" w:history="1">
              <w:r w:rsidR="00E60FB8" w:rsidRPr="00F67DAC">
                <w:rPr>
                  <w:rStyle w:val="Hyperlink"/>
                </w:rPr>
                <w:t>Cruse Bereavement Care</w:t>
              </w:r>
            </w:hyperlink>
            <w:r w:rsidR="00E60FB8" w:rsidRPr="00F67DAC">
              <w:rPr>
                <w:rStyle w:val="Hyperlink"/>
              </w:rPr>
              <w:t> </w:t>
            </w:r>
            <w:r w:rsidR="00E60FB8" w:rsidRPr="00066ADD">
              <w:rPr>
                <w:color w:val="222222"/>
              </w:rPr>
              <w:t>– support during loss and grief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5D055C" w:rsidP="00E60FB8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hyperlink r:id="rId16" w:history="1">
              <w:r w:rsidR="00E60FB8" w:rsidRPr="00F67DAC">
                <w:rPr>
                  <w:rStyle w:val="Hyperlink"/>
                </w:rPr>
                <w:t>The Compassionate Friends</w:t>
              </w:r>
            </w:hyperlink>
            <w:r w:rsidR="00E60FB8" w:rsidRPr="00F67DAC">
              <w:rPr>
                <w:rStyle w:val="Hyperlink"/>
              </w:rPr>
              <w:t> </w:t>
            </w:r>
            <w:r w:rsidR="00E60FB8" w:rsidRPr="00066ADD">
              <w:rPr>
                <w:color w:val="222222"/>
              </w:rPr>
              <w:t>– for parents and their families; including specific support for siblings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  <w:tr w:rsidR="00E60FB8" w:rsidTr="00E60FB8">
        <w:trPr>
          <w:trHeight w:val="20"/>
        </w:trPr>
        <w:tc>
          <w:tcPr>
            <w:tcW w:w="563" w:type="dxa"/>
            <w:vMerge/>
            <w:shd w:val="clear" w:color="auto" w:fill="F2F2F2" w:themeFill="background1" w:themeFillShade="F2"/>
          </w:tcPr>
          <w:p w:rsidR="00E60FB8" w:rsidRDefault="00E60FB8" w:rsidP="00E60FB8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4"/>
            <w:shd w:val="clear" w:color="auto" w:fill="F2F2F2" w:themeFill="background1" w:themeFillShade="F2"/>
            <w:vAlign w:val="center"/>
          </w:tcPr>
          <w:p w:rsidR="00E60FB8" w:rsidRPr="00066ADD" w:rsidRDefault="00E60FB8" w:rsidP="00E60FB8">
            <w:pPr>
              <w:pStyle w:val="ListParagraph"/>
              <w:numPr>
                <w:ilvl w:val="0"/>
                <w:numId w:val="46"/>
              </w:numPr>
              <w:rPr>
                <w:b/>
                <w:bCs/>
              </w:rPr>
            </w:pPr>
            <w:r w:rsidRPr="00066ADD">
              <w:rPr>
                <w:color w:val="222222"/>
              </w:rPr>
              <w:t xml:space="preserve">Together for Short Lives – </w:t>
            </w:r>
            <w:hyperlink r:id="rId17" w:history="1">
              <w:r w:rsidRPr="00F67DAC">
                <w:rPr>
                  <w:rStyle w:val="Hyperlink"/>
                </w:rPr>
                <w:t>When a child dies factsheet</w:t>
              </w:r>
            </w:hyperlink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60FB8" w:rsidRDefault="00E60FB8" w:rsidP="00E60FB8"/>
        </w:tc>
      </w:tr>
    </w:tbl>
    <w:p w:rsidR="00E60FB8" w:rsidRDefault="00E60FB8" w:rsidP="00CE330E">
      <w:pPr>
        <w:pStyle w:val="Heading1"/>
        <w:spacing w:after="0"/>
      </w:pPr>
      <w:bookmarkStart w:id="1" w:name="_Toc139822469"/>
    </w:p>
    <w:p w:rsidR="00E60FB8" w:rsidRDefault="00E60FB8">
      <w:pPr>
        <w:spacing w:after="200" w:line="276" w:lineRule="auto"/>
        <w:rPr>
          <w:rFonts w:eastAsiaTheme="minorHAnsi"/>
          <w:b/>
          <w:color w:val="004785"/>
          <w:sz w:val="32"/>
          <w:szCs w:val="32"/>
          <w:lang w:eastAsia="en-US"/>
        </w:rPr>
      </w:pPr>
      <w:r>
        <w:br w:type="page"/>
      </w:r>
    </w:p>
    <w:p w:rsidR="00E52B9A" w:rsidRPr="00E52B9A" w:rsidRDefault="00E52B9A" w:rsidP="00CE330E">
      <w:pPr>
        <w:pStyle w:val="Heading1"/>
        <w:spacing w:after="0"/>
      </w:pPr>
      <w:r w:rsidRPr="00E52B9A">
        <w:t xml:space="preserve">Appendix </w:t>
      </w:r>
      <w:r w:rsidR="00066ADD">
        <w:t>1</w:t>
      </w:r>
      <w:r w:rsidRPr="00E52B9A">
        <w:t>- List of Possible Participants</w:t>
      </w:r>
      <w:bookmarkEnd w:id="1"/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Allied Health Professionals – Dietician, Speech and Language Therapists, Physiotherapists, Occupational Therapist, Psychology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Ancillary staff – Domestics, Porters, Technicians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Community staff – General Practitioner (GP), Health Visitors, District Nurses, Paramedics, Community Childrens Nurses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Carers- including 3</w:t>
      </w:r>
      <w:r w:rsidRPr="00E52B9A">
        <w:rPr>
          <w:vertAlign w:val="superscript"/>
          <w:lang w:eastAsia="en-US"/>
        </w:rPr>
        <w:t>rd</w:t>
      </w:r>
      <w:r w:rsidRPr="00E52B9A">
        <w:rPr>
          <w:lang w:eastAsia="en-US"/>
        </w:rPr>
        <w:t xml:space="preserve"> </w:t>
      </w:r>
      <w:proofErr w:type="gramStart"/>
      <w:r w:rsidRPr="00E52B9A">
        <w:rPr>
          <w:lang w:eastAsia="en-US"/>
        </w:rPr>
        <w:t>Sector</w:t>
      </w:r>
      <w:proofErr w:type="gramEnd"/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Chaplain or Faith Leaders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Doctors (from any relevant specialty) at any stage in training, including Surgeons and Anaesthetists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 xml:space="preserve">Education and School teams and staff 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 xml:space="preserve">Family Support Teams 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Nurses – Ward, Specialist, Students, Managers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 xml:space="preserve">Non-clinical including Administrators, Secretaries and Ward Clerks 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 xml:space="preserve">Pharmacy teams 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 xml:space="preserve">Play </w:t>
      </w:r>
      <w:proofErr w:type="gramStart"/>
      <w:r w:rsidRPr="00E52B9A">
        <w:rPr>
          <w:lang w:eastAsia="en-US"/>
        </w:rPr>
        <w:t>teams</w:t>
      </w:r>
      <w:proofErr w:type="gramEnd"/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Residential and respite staff- including 3</w:t>
      </w:r>
      <w:r w:rsidRPr="00E52B9A">
        <w:rPr>
          <w:vertAlign w:val="superscript"/>
          <w:lang w:eastAsia="en-US"/>
        </w:rPr>
        <w:t>rd</w:t>
      </w:r>
      <w:r w:rsidRPr="00E52B9A">
        <w:rPr>
          <w:lang w:eastAsia="en-US"/>
        </w:rPr>
        <w:t xml:space="preserve"> </w:t>
      </w:r>
      <w:proofErr w:type="gramStart"/>
      <w:r w:rsidRPr="00E52B9A">
        <w:rPr>
          <w:lang w:eastAsia="en-US"/>
        </w:rPr>
        <w:t>Sector</w:t>
      </w:r>
      <w:proofErr w:type="gramEnd"/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Social workers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Specialist personnel – Physiologists</w:t>
      </w:r>
    </w:p>
    <w:p w:rsidR="00E52B9A" w:rsidRPr="00E52B9A" w:rsidRDefault="00E52B9A" w:rsidP="00CE330E">
      <w:pPr>
        <w:numPr>
          <w:ilvl w:val="0"/>
          <w:numId w:val="45"/>
        </w:numPr>
        <w:rPr>
          <w:lang w:eastAsia="en-US"/>
        </w:rPr>
      </w:pPr>
      <w:r w:rsidRPr="00E52B9A">
        <w:rPr>
          <w:lang w:eastAsia="en-US"/>
        </w:rPr>
        <w:t>Theatre staff</w:t>
      </w:r>
    </w:p>
    <w:p w:rsidR="00E52B9A" w:rsidRPr="00E52B9A" w:rsidRDefault="00E52B9A" w:rsidP="00CE330E">
      <w:pPr>
        <w:rPr>
          <w:lang w:eastAsia="en-US"/>
        </w:rPr>
      </w:pPr>
    </w:p>
    <w:sectPr w:rsidR="00E52B9A" w:rsidRPr="00E52B9A" w:rsidSect="00C018A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440" w:bottom="1135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55C" w:rsidRDefault="005D055C" w:rsidP="003A4B82">
      <w:r>
        <w:separator/>
      </w:r>
    </w:p>
    <w:p w:rsidR="005D055C" w:rsidRDefault="005D055C" w:rsidP="003A4B82"/>
    <w:p w:rsidR="005D055C" w:rsidRDefault="005D055C" w:rsidP="003A4B82"/>
    <w:p w:rsidR="005D055C" w:rsidRDefault="005D055C" w:rsidP="003A4B82"/>
  </w:endnote>
  <w:endnote w:type="continuationSeparator" w:id="0">
    <w:p w:rsidR="005D055C" w:rsidRDefault="005D055C" w:rsidP="003A4B82">
      <w:r>
        <w:continuationSeparator/>
      </w:r>
    </w:p>
    <w:p w:rsidR="005D055C" w:rsidRDefault="005D055C" w:rsidP="003A4B82"/>
    <w:p w:rsidR="005D055C" w:rsidRDefault="005D055C" w:rsidP="003A4B82"/>
    <w:p w:rsidR="005D055C" w:rsidRDefault="005D055C" w:rsidP="003A4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8AA" w:rsidRPr="003A4B82" w:rsidRDefault="00C018AA" w:rsidP="00C018AA">
    <w:pPr>
      <w:rPr>
        <w:rStyle w:val="IntenseEmphasis"/>
      </w:rPr>
    </w:pPr>
    <w:r w:rsidRPr="003A4B82">
      <w:rPr>
        <w:rStyle w:val="IntenseEmphasis"/>
      </w:rPr>
      <w:t xml:space="preserve">Review: </w:t>
    </w:r>
    <w:r>
      <w:rPr>
        <w:rStyle w:val="IntenseEmphasis"/>
      </w:rPr>
      <w:t>March 2026</w:t>
    </w:r>
  </w:p>
  <w:p w:rsidR="00FF7344" w:rsidRPr="00C018AA" w:rsidRDefault="00C018AA" w:rsidP="00C018AA">
    <w:pPr>
      <w:pStyle w:val="Footer"/>
    </w:pPr>
    <w:r>
      <w:rPr>
        <w:rStyle w:val="IntenseEmphasis"/>
      </w:rPr>
      <w:t>NSD610-002.0</w:t>
    </w:r>
    <w:r w:rsidR="00E60FB8">
      <w:rPr>
        <w:rStyle w:val="IntenseEmphasis"/>
      </w:rPr>
      <w:t>7</w:t>
    </w:r>
    <w:r w:rsidR="00E52B9A">
      <w:rPr>
        <w:rStyle w:val="IntenseEmphasis"/>
      </w:rPr>
      <w:t xml:space="preserve">   V</w:t>
    </w:r>
    <w:r w:rsidR="00E60FB8">
      <w:rPr>
        <w:rStyle w:val="IntenseEmphasis"/>
      </w:rPr>
      <w:t>1</w:t>
    </w:r>
    <w:r w:rsidRPr="003A4B82">
      <w:rPr>
        <w:rStyle w:val="IntenseEmphasis"/>
      </w:rPr>
      <w:tab/>
    </w:r>
    <w:r w:rsidRPr="003A4B82">
      <w:rPr>
        <w:rStyle w:val="IntenseEmphasis"/>
      </w:rPr>
      <w:tab/>
      <w:t xml:space="preserve">Page </w:t>
    </w:r>
    <w:r w:rsidRPr="003A4B82">
      <w:rPr>
        <w:rStyle w:val="IntenseEmphasis"/>
      </w:rPr>
      <w:fldChar w:fldCharType="begin"/>
    </w:r>
    <w:r w:rsidRPr="003A4B82">
      <w:rPr>
        <w:rStyle w:val="IntenseEmphasis"/>
      </w:rPr>
      <w:instrText xml:space="preserve"> PAGE  \* Arabic  \* MERGEFORMAT </w:instrText>
    </w:r>
    <w:r w:rsidRPr="003A4B82">
      <w:rPr>
        <w:rStyle w:val="IntenseEmphasis"/>
      </w:rPr>
      <w:fldChar w:fldCharType="separate"/>
    </w:r>
    <w:r>
      <w:rPr>
        <w:rStyle w:val="IntenseEmphasis"/>
      </w:rPr>
      <w:t>1</w:t>
    </w:r>
    <w:r w:rsidRPr="003A4B82">
      <w:rPr>
        <w:rStyle w:val="IntenseEmphasis"/>
      </w:rPr>
      <w:fldChar w:fldCharType="end"/>
    </w:r>
    <w:r w:rsidRPr="003A4B82">
      <w:rPr>
        <w:rStyle w:val="IntenseEmphasis"/>
      </w:rPr>
      <w:t xml:space="preserve"> of </w:t>
    </w:r>
    <w:r w:rsidRPr="003A4B82">
      <w:rPr>
        <w:rStyle w:val="IntenseEmphasis"/>
      </w:rPr>
      <w:fldChar w:fldCharType="begin"/>
    </w:r>
    <w:r w:rsidRPr="003A4B82">
      <w:rPr>
        <w:rStyle w:val="IntenseEmphasis"/>
      </w:rPr>
      <w:instrText xml:space="preserve"> NUMPAGES  \* Arabic  \* MERGEFORMAT </w:instrText>
    </w:r>
    <w:r w:rsidRPr="003A4B82">
      <w:rPr>
        <w:rStyle w:val="IntenseEmphasis"/>
      </w:rPr>
      <w:fldChar w:fldCharType="separate"/>
    </w:r>
    <w:r>
      <w:rPr>
        <w:rStyle w:val="IntenseEmphasis"/>
      </w:rPr>
      <w:t>4</w:t>
    </w:r>
    <w:r w:rsidRPr="003A4B82">
      <w:rPr>
        <w:rStyle w:val="IntenseEmphasi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5020" w:rsidRPr="003A4B82" w:rsidRDefault="00E75020" w:rsidP="003A4B82">
    <w:pPr>
      <w:rPr>
        <w:rStyle w:val="IntenseEmphasis"/>
      </w:rPr>
    </w:pPr>
    <w:bookmarkStart w:id="2" w:name="_Hlk139821318"/>
    <w:bookmarkStart w:id="3" w:name="_Hlk139821319"/>
    <w:r w:rsidRPr="003A4B82">
      <w:rPr>
        <w:rStyle w:val="IntenseEmphasis"/>
      </w:rPr>
      <w:t>Review:</w:t>
    </w:r>
    <w:r w:rsidR="005A1EDC" w:rsidRPr="003A4B82">
      <w:rPr>
        <w:rStyle w:val="IntenseEmphasis"/>
      </w:rPr>
      <w:t xml:space="preserve"> </w:t>
    </w:r>
    <w:r w:rsidR="00C018AA">
      <w:rPr>
        <w:rStyle w:val="IntenseEmphasis"/>
      </w:rPr>
      <w:t>March 2026</w:t>
    </w:r>
  </w:p>
  <w:p w:rsidR="00FF7344" w:rsidRPr="003A4B82" w:rsidRDefault="00C018AA" w:rsidP="003A4B82">
    <w:pPr>
      <w:pStyle w:val="Footer"/>
    </w:pPr>
    <w:r>
      <w:rPr>
        <w:rStyle w:val="IntenseEmphasis"/>
      </w:rPr>
      <w:t>NSD610-002.0</w:t>
    </w:r>
    <w:r w:rsidR="00E60FB8">
      <w:rPr>
        <w:rStyle w:val="IntenseEmphasis"/>
      </w:rPr>
      <w:t>7</w:t>
    </w:r>
    <w:r w:rsidR="00E52B9A">
      <w:rPr>
        <w:rStyle w:val="IntenseEmphasis"/>
      </w:rPr>
      <w:t xml:space="preserve">   V</w:t>
    </w:r>
    <w:r w:rsidR="00E60FB8">
      <w:rPr>
        <w:rStyle w:val="IntenseEmphasis"/>
      </w:rPr>
      <w:t>1</w:t>
    </w:r>
    <w:r w:rsidR="00E75020" w:rsidRPr="003A4B82">
      <w:rPr>
        <w:rStyle w:val="IntenseEmphasis"/>
      </w:rPr>
      <w:tab/>
    </w:r>
    <w:r w:rsidR="00E75020" w:rsidRPr="003A4B82">
      <w:rPr>
        <w:rStyle w:val="IntenseEmphasis"/>
      </w:rPr>
      <w:tab/>
      <w:t xml:space="preserve">Page </w:t>
    </w:r>
    <w:r w:rsidR="00E75020" w:rsidRPr="003A4B82">
      <w:rPr>
        <w:rStyle w:val="IntenseEmphasis"/>
      </w:rPr>
      <w:fldChar w:fldCharType="begin"/>
    </w:r>
    <w:r w:rsidR="00E75020" w:rsidRPr="003A4B82">
      <w:rPr>
        <w:rStyle w:val="IntenseEmphasis"/>
      </w:rPr>
      <w:instrText xml:space="preserve"> PAGE  \* Arabic  \* MERGEFORMAT </w:instrText>
    </w:r>
    <w:r w:rsidR="00E75020" w:rsidRPr="003A4B82">
      <w:rPr>
        <w:rStyle w:val="IntenseEmphasis"/>
      </w:rPr>
      <w:fldChar w:fldCharType="separate"/>
    </w:r>
    <w:r w:rsidR="00E75020" w:rsidRPr="003A4B82">
      <w:rPr>
        <w:rStyle w:val="IntenseEmphasis"/>
      </w:rPr>
      <w:t>2</w:t>
    </w:r>
    <w:r w:rsidR="00E75020" w:rsidRPr="003A4B82">
      <w:rPr>
        <w:rStyle w:val="IntenseEmphasis"/>
      </w:rPr>
      <w:fldChar w:fldCharType="end"/>
    </w:r>
    <w:r w:rsidR="00E75020" w:rsidRPr="003A4B82">
      <w:rPr>
        <w:rStyle w:val="IntenseEmphasis"/>
      </w:rPr>
      <w:t xml:space="preserve"> of </w:t>
    </w:r>
    <w:r w:rsidR="00E75020" w:rsidRPr="003A4B82">
      <w:rPr>
        <w:rStyle w:val="IntenseEmphasis"/>
      </w:rPr>
      <w:fldChar w:fldCharType="begin"/>
    </w:r>
    <w:r w:rsidR="00E75020" w:rsidRPr="003A4B82">
      <w:rPr>
        <w:rStyle w:val="IntenseEmphasis"/>
      </w:rPr>
      <w:instrText xml:space="preserve"> NUMPAGES  \* Arabic  \* MERGEFORMAT </w:instrText>
    </w:r>
    <w:r w:rsidR="00E75020" w:rsidRPr="003A4B82">
      <w:rPr>
        <w:rStyle w:val="IntenseEmphasis"/>
      </w:rPr>
      <w:fldChar w:fldCharType="separate"/>
    </w:r>
    <w:r w:rsidR="00E75020" w:rsidRPr="003A4B82">
      <w:rPr>
        <w:rStyle w:val="IntenseEmphasis"/>
      </w:rPr>
      <w:t>5</w:t>
    </w:r>
    <w:r w:rsidR="00E75020" w:rsidRPr="003A4B82">
      <w:rPr>
        <w:rStyle w:val="IntenseEmphasis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55C" w:rsidRDefault="005D055C" w:rsidP="003A4B82">
      <w:r>
        <w:separator/>
      </w:r>
    </w:p>
    <w:p w:rsidR="005D055C" w:rsidRDefault="005D055C" w:rsidP="003A4B82"/>
    <w:p w:rsidR="005D055C" w:rsidRDefault="005D055C" w:rsidP="003A4B82"/>
    <w:p w:rsidR="005D055C" w:rsidRDefault="005D055C" w:rsidP="003A4B82"/>
  </w:footnote>
  <w:footnote w:type="continuationSeparator" w:id="0">
    <w:p w:rsidR="005D055C" w:rsidRDefault="005D055C" w:rsidP="003A4B82">
      <w:r>
        <w:continuationSeparator/>
      </w:r>
    </w:p>
    <w:p w:rsidR="005D055C" w:rsidRDefault="005D055C" w:rsidP="003A4B82"/>
    <w:p w:rsidR="005D055C" w:rsidRDefault="005D055C" w:rsidP="003A4B82"/>
    <w:p w:rsidR="005D055C" w:rsidRDefault="005D055C" w:rsidP="003A4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8AA" w:rsidRDefault="00C018AA" w:rsidP="003A4B82">
    <w:pPr>
      <w:pStyle w:val="Header"/>
      <w:rPr>
        <w:rStyle w:val="SubtleEmphasis"/>
      </w:rPr>
    </w:pPr>
    <w:r w:rsidRPr="00C018AA">
      <w:rPr>
        <w:rStyle w:val="SubtleEmphasis"/>
      </w:rPr>
      <w:t xml:space="preserve">Paediatric End of Life managed Care Network (PELiCaN) </w:t>
    </w:r>
  </w:p>
  <w:p w:rsidR="00382E4B" w:rsidRPr="003A4B82" w:rsidRDefault="004C3A3F" w:rsidP="004C3A3F">
    <w:pPr>
      <w:pStyle w:val="Header"/>
      <w:rPr>
        <w:rStyle w:val="Emphasis"/>
      </w:rPr>
    </w:pPr>
    <w:r w:rsidRPr="004C3A3F">
      <w:rPr>
        <w:rStyle w:val="Emphasis"/>
      </w:rPr>
      <w:t>Clinical Lead Checklist – Post Child Death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514B" w:rsidRDefault="00535327" w:rsidP="003A4B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137AF5" wp14:editId="25FFCB57">
              <wp:simplePos x="0" y="0"/>
              <wp:positionH relativeFrom="column">
                <wp:posOffset>-1990725</wp:posOffset>
              </wp:positionH>
              <wp:positionV relativeFrom="paragraph">
                <wp:posOffset>-2313498</wp:posOffset>
              </wp:positionV>
              <wp:extent cx="9664065" cy="3971238"/>
              <wp:effectExtent l="0" t="819150" r="0" b="829945"/>
              <wp:wrapNone/>
              <wp:docPr id="1" name="Wav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376783">
                        <a:off x="0" y="0"/>
                        <a:ext cx="9664065" cy="3971238"/>
                      </a:xfrm>
                      <a:prstGeom prst="wave">
                        <a:avLst>
                          <a:gd name="adj1" fmla="val 20000"/>
                          <a:gd name="adj2" fmla="val -2017"/>
                        </a:avLst>
                      </a:prstGeom>
                      <a:solidFill>
                        <a:srgbClr val="0047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04F26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Wave 1" o:spid="_x0000_s1026" type="#_x0000_t64" alt="&quot;&quot;" style="position:absolute;margin-left:-156.75pt;margin-top:-182.15pt;width:760.95pt;height:312.7pt;rotation:-13360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" adj="4320,10364" fillcolor="#004785" stroked="f" strokeweight="2pt"/>
          </w:pict>
        </mc:Fallback>
      </mc:AlternateContent>
    </w:r>
  </w:p>
  <w:p w:rsidR="00FF7344" w:rsidRDefault="00FF7344" w:rsidP="003A4B82"/>
  <w:p w:rsidR="00FF7344" w:rsidRDefault="00FF7344" w:rsidP="003A4B82"/>
  <w:p w:rsidR="00FF7344" w:rsidRDefault="00FF7344" w:rsidP="003A4B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3D9"/>
    <w:multiLevelType w:val="hybridMultilevel"/>
    <w:tmpl w:val="A2EE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5F83"/>
    <w:multiLevelType w:val="hybridMultilevel"/>
    <w:tmpl w:val="F198F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0EA5"/>
    <w:multiLevelType w:val="hybridMultilevel"/>
    <w:tmpl w:val="EDF47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96B32"/>
    <w:multiLevelType w:val="hybridMultilevel"/>
    <w:tmpl w:val="E7F8BD40"/>
    <w:lvl w:ilvl="0" w:tplc="7A6C23E2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4562E2"/>
    <w:multiLevelType w:val="hybridMultilevel"/>
    <w:tmpl w:val="CF36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D14DE"/>
    <w:multiLevelType w:val="hybridMultilevel"/>
    <w:tmpl w:val="83143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117"/>
    <w:multiLevelType w:val="multilevel"/>
    <w:tmpl w:val="490E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D77EBB"/>
    <w:multiLevelType w:val="hybridMultilevel"/>
    <w:tmpl w:val="B058B1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84230"/>
    <w:multiLevelType w:val="hybridMultilevel"/>
    <w:tmpl w:val="2BA48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E1265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916D7"/>
    <w:multiLevelType w:val="hybridMultilevel"/>
    <w:tmpl w:val="F5CC2B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CD1E69"/>
    <w:multiLevelType w:val="hybridMultilevel"/>
    <w:tmpl w:val="A8FA2516"/>
    <w:lvl w:ilvl="0" w:tplc="084CC67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color w:val="00A2E5"/>
        <w:sz w:val="28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A4AB7"/>
    <w:multiLevelType w:val="hybridMultilevel"/>
    <w:tmpl w:val="202E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62A84"/>
    <w:multiLevelType w:val="hybridMultilevel"/>
    <w:tmpl w:val="BBA8C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737DC"/>
    <w:multiLevelType w:val="hybridMultilevel"/>
    <w:tmpl w:val="A4C821F8"/>
    <w:lvl w:ilvl="0" w:tplc="BCA82B26">
      <w:start w:val="14"/>
      <w:numFmt w:val="bullet"/>
      <w:lvlText w:val=""/>
      <w:lvlJc w:val="left"/>
      <w:pPr>
        <w:ind w:left="643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1D742F96"/>
    <w:multiLevelType w:val="hybridMultilevel"/>
    <w:tmpl w:val="7B283D50"/>
    <w:lvl w:ilvl="0" w:tplc="301039D0">
      <w:start w:val="3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F3B5605"/>
    <w:multiLevelType w:val="hybridMultilevel"/>
    <w:tmpl w:val="35C4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023"/>
    <w:multiLevelType w:val="multilevel"/>
    <w:tmpl w:val="CE6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BC474C"/>
    <w:multiLevelType w:val="hybridMultilevel"/>
    <w:tmpl w:val="0624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40B37"/>
    <w:multiLevelType w:val="hybridMultilevel"/>
    <w:tmpl w:val="39526144"/>
    <w:lvl w:ilvl="0" w:tplc="A952457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6116E"/>
    <w:multiLevelType w:val="multilevel"/>
    <w:tmpl w:val="ABE60260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3"/>
      <w:numFmt w:val="bullet"/>
      <w:lvlText w:val=""/>
      <w:lvlJc w:val="left"/>
      <w:rPr>
        <w:rFonts w:ascii="Wingdings" w:eastAsia="Times New Roman" w:hAnsi="Wingdings" w:cs="Trebuchet MS" w:hint="default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20" w15:restartNumberingAfterBreak="0">
    <w:nsid w:val="363266A2"/>
    <w:multiLevelType w:val="hybridMultilevel"/>
    <w:tmpl w:val="24A2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354F1"/>
    <w:multiLevelType w:val="hybridMultilevel"/>
    <w:tmpl w:val="DBD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B07"/>
    <w:multiLevelType w:val="hybridMultilevel"/>
    <w:tmpl w:val="DFF8C51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8070C"/>
    <w:multiLevelType w:val="hybridMultilevel"/>
    <w:tmpl w:val="85101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56A5E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C3544"/>
    <w:multiLevelType w:val="hybridMultilevel"/>
    <w:tmpl w:val="77E6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35C3D"/>
    <w:multiLevelType w:val="hybridMultilevel"/>
    <w:tmpl w:val="5200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4B84"/>
    <w:multiLevelType w:val="hybridMultilevel"/>
    <w:tmpl w:val="EEFE4174"/>
    <w:lvl w:ilvl="0" w:tplc="CB1A32BE">
      <w:start w:val="14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C68793B"/>
    <w:multiLevelType w:val="hybridMultilevel"/>
    <w:tmpl w:val="4B72BC5E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4CC314EC"/>
    <w:multiLevelType w:val="hybridMultilevel"/>
    <w:tmpl w:val="ACC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514BE"/>
    <w:multiLevelType w:val="hybridMultilevel"/>
    <w:tmpl w:val="D79E62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423ABC"/>
    <w:multiLevelType w:val="hybridMultilevel"/>
    <w:tmpl w:val="4D66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BC9C6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A46F3"/>
    <w:multiLevelType w:val="hybridMultilevel"/>
    <w:tmpl w:val="A15A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66620"/>
    <w:multiLevelType w:val="hybridMultilevel"/>
    <w:tmpl w:val="7F5C5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85B88"/>
    <w:multiLevelType w:val="hybridMultilevel"/>
    <w:tmpl w:val="52FAB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B2"/>
    <w:multiLevelType w:val="hybridMultilevel"/>
    <w:tmpl w:val="A0E8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F310F"/>
    <w:multiLevelType w:val="hybridMultilevel"/>
    <w:tmpl w:val="626C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83649"/>
    <w:multiLevelType w:val="hybridMultilevel"/>
    <w:tmpl w:val="93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9260D"/>
    <w:multiLevelType w:val="hybridMultilevel"/>
    <w:tmpl w:val="130AD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497CA3"/>
    <w:multiLevelType w:val="hybridMultilevel"/>
    <w:tmpl w:val="BAA4BE36"/>
    <w:lvl w:ilvl="0" w:tplc="0809000F">
      <w:start w:val="1"/>
      <w:numFmt w:val="decimal"/>
      <w:lvlText w:val="%1.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9" w15:restartNumberingAfterBreak="0">
    <w:nsid w:val="638A6323"/>
    <w:multiLevelType w:val="multilevel"/>
    <w:tmpl w:val="FFFFFFFF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40" w15:restartNumberingAfterBreak="0">
    <w:nsid w:val="681C5190"/>
    <w:multiLevelType w:val="hybridMultilevel"/>
    <w:tmpl w:val="AD96E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7B41"/>
    <w:multiLevelType w:val="hybridMultilevel"/>
    <w:tmpl w:val="9D425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66AFE"/>
    <w:multiLevelType w:val="hybridMultilevel"/>
    <w:tmpl w:val="C50C0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8B842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94C8A"/>
    <w:multiLevelType w:val="multilevel"/>
    <w:tmpl w:val="FFFFFFFF"/>
    <w:lvl w:ilvl="0">
      <w:numFmt w:val="bullet"/>
      <w:lvlText w:val="•"/>
      <w:lvlJc w:val="left"/>
      <w:rPr>
        <w:rFonts w:ascii="Trebuchet MS" w:eastAsia="Times New Roman" w:hAnsi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2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3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4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5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  <w:lvl w:ilvl="6">
      <w:start w:val="1"/>
      <w:numFmt w:val="bullet"/>
      <w:lvlText w:val="•"/>
      <w:lvlJc w:val="left"/>
      <w:rPr>
        <w:rFonts w:ascii="Calibri" w:eastAsia="Times New Roman" w:hAnsi="Calibri"/>
        <w:position w:val="0"/>
      </w:rPr>
    </w:lvl>
    <w:lvl w:ilvl="7">
      <w:start w:val="1"/>
      <w:numFmt w:val="bullet"/>
      <w:lvlText w:val="o"/>
      <w:lvlJc w:val="left"/>
      <w:rPr>
        <w:rFonts w:ascii="Calibri" w:eastAsia="Times New Roman" w:hAnsi="Calibri"/>
        <w:position w:val="0"/>
      </w:rPr>
    </w:lvl>
    <w:lvl w:ilvl="8">
      <w:start w:val="1"/>
      <w:numFmt w:val="bullet"/>
      <w:lvlText w:val="▪"/>
      <w:lvlJc w:val="left"/>
      <w:rPr>
        <w:rFonts w:ascii="Calibri" w:eastAsia="Times New Roman" w:hAnsi="Calibri"/>
        <w:position w:val="0"/>
      </w:rPr>
    </w:lvl>
  </w:abstractNum>
  <w:abstractNum w:abstractNumId="44" w15:restartNumberingAfterBreak="0">
    <w:nsid w:val="7BD2774E"/>
    <w:multiLevelType w:val="hybridMultilevel"/>
    <w:tmpl w:val="E34A29D8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BB0068"/>
    <w:multiLevelType w:val="hybridMultilevel"/>
    <w:tmpl w:val="289EB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4842">
    <w:abstractNumId w:val="45"/>
  </w:num>
  <w:num w:numId="2" w16cid:durableId="1496602202">
    <w:abstractNumId w:val="41"/>
  </w:num>
  <w:num w:numId="3" w16cid:durableId="826942006">
    <w:abstractNumId w:val="17"/>
  </w:num>
  <w:num w:numId="4" w16cid:durableId="2045324570">
    <w:abstractNumId w:val="31"/>
  </w:num>
  <w:num w:numId="5" w16cid:durableId="1858352248">
    <w:abstractNumId w:val="27"/>
  </w:num>
  <w:num w:numId="6" w16cid:durableId="770667341">
    <w:abstractNumId w:val="5"/>
  </w:num>
  <w:num w:numId="7" w16cid:durableId="740102065">
    <w:abstractNumId w:val="24"/>
  </w:num>
  <w:num w:numId="8" w16cid:durableId="1265652528">
    <w:abstractNumId w:val="20"/>
  </w:num>
  <w:num w:numId="9" w16cid:durableId="1628588398">
    <w:abstractNumId w:val="34"/>
  </w:num>
  <w:num w:numId="10" w16cid:durableId="201744665">
    <w:abstractNumId w:val="11"/>
  </w:num>
  <w:num w:numId="11" w16cid:durableId="2052487090">
    <w:abstractNumId w:val="26"/>
  </w:num>
  <w:num w:numId="12" w16cid:durableId="969163586">
    <w:abstractNumId w:val="3"/>
  </w:num>
  <w:num w:numId="13" w16cid:durableId="107429083">
    <w:abstractNumId w:val="13"/>
  </w:num>
  <w:num w:numId="14" w16cid:durableId="17900805">
    <w:abstractNumId w:val="23"/>
  </w:num>
  <w:num w:numId="15" w16cid:durableId="1888562011">
    <w:abstractNumId w:val="4"/>
  </w:num>
  <w:num w:numId="16" w16cid:durableId="1957062262">
    <w:abstractNumId w:val="12"/>
  </w:num>
  <w:num w:numId="17" w16cid:durableId="13504803">
    <w:abstractNumId w:val="42"/>
  </w:num>
  <w:num w:numId="18" w16cid:durableId="482745875">
    <w:abstractNumId w:val="7"/>
  </w:num>
  <w:num w:numId="19" w16cid:durableId="141167886">
    <w:abstractNumId w:val="10"/>
  </w:num>
  <w:num w:numId="20" w16cid:durableId="2094888795">
    <w:abstractNumId w:val="8"/>
  </w:num>
  <w:num w:numId="21" w16cid:durableId="732392723">
    <w:abstractNumId w:val="32"/>
  </w:num>
  <w:num w:numId="22" w16cid:durableId="1159468105">
    <w:abstractNumId w:val="38"/>
  </w:num>
  <w:num w:numId="23" w16cid:durableId="547767506">
    <w:abstractNumId w:val="40"/>
  </w:num>
  <w:num w:numId="24" w16cid:durableId="1462459083">
    <w:abstractNumId w:val="18"/>
  </w:num>
  <w:num w:numId="25" w16cid:durableId="1533155488">
    <w:abstractNumId w:val="22"/>
  </w:num>
  <w:num w:numId="26" w16cid:durableId="821579547">
    <w:abstractNumId w:val="44"/>
  </w:num>
  <w:num w:numId="27" w16cid:durableId="1831408529">
    <w:abstractNumId w:val="29"/>
  </w:num>
  <w:num w:numId="28" w16cid:durableId="707728401">
    <w:abstractNumId w:val="9"/>
  </w:num>
  <w:num w:numId="29" w16cid:durableId="1583098288">
    <w:abstractNumId w:val="21"/>
  </w:num>
  <w:num w:numId="30" w16cid:durableId="22639150">
    <w:abstractNumId w:val="33"/>
  </w:num>
  <w:num w:numId="31" w16cid:durableId="834960158">
    <w:abstractNumId w:val="1"/>
  </w:num>
  <w:num w:numId="32" w16cid:durableId="156188046">
    <w:abstractNumId w:val="30"/>
  </w:num>
  <w:num w:numId="33" w16cid:durableId="751439618">
    <w:abstractNumId w:val="19"/>
  </w:num>
  <w:num w:numId="34" w16cid:durableId="1650984602">
    <w:abstractNumId w:val="39"/>
  </w:num>
  <w:num w:numId="35" w16cid:durableId="1836870721">
    <w:abstractNumId w:val="43"/>
  </w:num>
  <w:num w:numId="36" w16cid:durableId="1459909323">
    <w:abstractNumId w:val="0"/>
  </w:num>
  <w:num w:numId="37" w16cid:durableId="400713189">
    <w:abstractNumId w:val="14"/>
  </w:num>
  <w:num w:numId="38" w16cid:durableId="1162627149">
    <w:abstractNumId w:val="25"/>
  </w:num>
  <w:num w:numId="39" w16cid:durableId="1179153233">
    <w:abstractNumId w:val="6"/>
  </w:num>
  <w:num w:numId="40" w16cid:durableId="1295017298">
    <w:abstractNumId w:val="16"/>
  </w:num>
  <w:num w:numId="41" w16cid:durableId="1401756394">
    <w:abstractNumId w:val="28"/>
  </w:num>
  <w:num w:numId="42" w16cid:durableId="639769392">
    <w:abstractNumId w:val="2"/>
  </w:num>
  <w:num w:numId="43" w16cid:durableId="1218321136">
    <w:abstractNumId w:val="15"/>
  </w:num>
  <w:num w:numId="44" w16cid:durableId="372586123">
    <w:abstractNumId w:val="35"/>
  </w:num>
  <w:num w:numId="45" w16cid:durableId="769400275">
    <w:abstractNumId w:val="36"/>
  </w:num>
  <w:num w:numId="46" w16cid:durableId="6808585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004785,#00a2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26"/>
    <w:rsid w:val="000177A8"/>
    <w:rsid w:val="00025B02"/>
    <w:rsid w:val="00032C55"/>
    <w:rsid w:val="00036824"/>
    <w:rsid w:val="0003731A"/>
    <w:rsid w:val="00050EA6"/>
    <w:rsid w:val="0005672E"/>
    <w:rsid w:val="00066ADD"/>
    <w:rsid w:val="00094FC9"/>
    <w:rsid w:val="000E128C"/>
    <w:rsid w:val="001165DA"/>
    <w:rsid w:val="001166B5"/>
    <w:rsid w:val="00162C2C"/>
    <w:rsid w:val="001A4774"/>
    <w:rsid w:val="001A487F"/>
    <w:rsid w:val="001A71ED"/>
    <w:rsid w:val="001B4068"/>
    <w:rsid w:val="001C3967"/>
    <w:rsid w:val="001F6C59"/>
    <w:rsid w:val="0020605E"/>
    <w:rsid w:val="00221AEE"/>
    <w:rsid w:val="0023787D"/>
    <w:rsid w:val="00243032"/>
    <w:rsid w:val="00245111"/>
    <w:rsid w:val="00295F59"/>
    <w:rsid w:val="002B31E6"/>
    <w:rsid w:val="002B373A"/>
    <w:rsid w:val="002E6FEE"/>
    <w:rsid w:val="002E7482"/>
    <w:rsid w:val="003259EB"/>
    <w:rsid w:val="003519F4"/>
    <w:rsid w:val="00371997"/>
    <w:rsid w:val="00382E4B"/>
    <w:rsid w:val="00384B46"/>
    <w:rsid w:val="00392132"/>
    <w:rsid w:val="003A2C06"/>
    <w:rsid w:val="003A4B82"/>
    <w:rsid w:val="003B5EC3"/>
    <w:rsid w:val="003D4CA1"/>
    <w:rsid w:val="003F5E0D"/>
    <w:rsid w:val="00414C9C"/>
    <w:rsid w:val="00417CE0"/>
    <w:rsid w:val="00457071"/>
    <w:rsid w:val="00472D90"/>
    <w:rsid w:val="004A4F18"/>
    <w:rsid w:val="004C3A3F"/>
    <w:rsid w:val="00532963"/>
    <w:rsid w:val="00535327"/>
    <w:rsid w:val="005526F3"/>
    <w:rsid w:val="005A1EDC"/>
    <w:rsid w:val="005A3C7F"/>
    <w:rsid w:val="005C3338"/>
    <w:rsid w:val="005C7FDD"/>
    <w:rsid w:val="005D055C"/>
    <w:rsid w:val="005E664B"/>
    <w:rsid w:val="005F44B0"/>
    <w:rsid w:val="0062327F"/>
    <w:rsid w:val="00634E88"/>
    <w:rsid w:val="00641E11"/>
    <w:rsid w:val="006810E2"/>
    <w:rsid w:val="006827B9"/>
    <w:rsid w:val="00682E4F"/>
    <w:rsid w:val="006843A9"/>
    <w:rsid w:val="006F0B75"/>
    <w:rsid w:val="00792A8B"/>
    <w:rsid w:val="007D0D7E"/>
    <w:rsid w:val="00812923"/>
    <w:rsid w:val="00835EFC"/>
    <w:rsid w:val="008737A7"/>
    <w:rsid w:val="00882826"/>
    <w:rsid w:val="008830A7"/>
    <w:rsid w:val="00887584"/>
    <w:rsid w:val="008B66AB"/>
    <w:rsid w:val="008D1CE1"/>
    <w:rsid w:val="008D4A72"/>
    <w:rsid w:val="008E4062"/>
    <w:rsid w:val="008E5211"/>
    <w:rsid w:val="008F59F7"/>
    <w:rsid w:val="00965CCC"/>
    <w:rsid w:val="00970490"/>
    <w:rsid w:val="00971EA3"/>
    <w:rsid w:val="009945FD"/>
    <w:rsid w:val="009B6AC6"/>
    <w:rsid w:val="009C1358"/>
    <w:rsid w:val="009D1AC6"/>
    <w:rsid w:val="009D4F8F"/>
    <w:rsid w:val="00A22622"/>
    <w:rsid w:val="00A306FA"/>
    <w:rsid w:val="00A70944"/>
    <w:rsid w:val="00AA0C8F"/>
    <w:rsid w:val="00AA4213"/>
    <w:rsid w:val="00AC78E1"/>
    <w:rsid w:val="00AE514B"/>
    <w:rsid w:val="00B049BA"/>
    <w:rsid w:val="00B61AD9"/>
    <w:rsid w:val="00B6404B"/>
    <w:rsid w:val="00BA372B"/>
    <w:rsid w:val="00BF7474"/>
    <w:rsid w:val="00C018AA"/>
    <w:rsid w:val="00C10D8B"/>
    <w:rsid w:val="00C36CE7"/>
    <w:rsid w:val="00C63425"/>
    <w:rsid w:val="00C81BE9"/>
    <w:rsid w:val="00C95390"/>
    <w:rsid w:val="00CB0B9B"/>
    <w:rsid w:val="00CC1230"/>
    <w:rsid w:val="00CE330E"/>
    <w:rsid w:val="00D60669"/>
    <w:rsid w:val="00D74871"/>
    <w:rsid w:val="00DD1A99"/>
    <w:rsid w:val="00DE078E"/>
    <w:rsid w:val="00E05122"/>
    <w:rsid w:val="00E4686A"/>
    <w:rsid w:val="00E52B9A"/>
    <w:rsid w:val="00E60FB8"/>
    <w:rsid w:val="00E72699"/>
    <w:rsid w:val="00E75020"/>
    <w:rsid w:val="00EC23F5"/>
    <w:rsid w:val="00EE2B12"/>
    <w:rsid w:val="00EE4195"/>
    <w:rsid w:val="00F277C7"/>
    <w:rsid w:val="00F41042"/>
    <w:rsid w:val="00F53303"/>
    <w:rsid w:val="00F7376B"/>
    <w:rsid w:val="00F81525"/>
    <w:rsid w:val="00FA31BC"/>
    <w:rsid w:val="00FB3B4D"/>
    <w:rsid w:val="00FB5AE5"/>
    <w:rsid w:val="00FE1D59"/>
    <w:rsid w:val="00FF069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785,#00a2e5"/>
    </o:shapedefaults>
    <o:shapelayout v:ext="edit">
      <o:idmap v:ext="edit" data="2"/>
    </o:shapelayout>
  </w:shapeDefaults>
  <w:decimalSymbol w:val="."/>
  <w:listSeparator w:val=","/>
  <w14:docId w14:val="4128D80F"/>
  <w15:docId w15:val="{35471F8A-6F4F-442D-9B84-16C3146E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B82"/>
    <w:pPr>
      <w:spacing w:after="0" w:line="240" w:lineRule="auto"/>
    </w:pPr>
    <w:rPr>
      <w:rFonts w:ascii="Arial" w:eastAsiaTheme="minorEastAsia" w:hAnsi="Arial" w:cs="Arial"/>
      <w:color w:val="000000" w:themeColor="text1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B82"/>
    <w:pPr>
      <w:spacing w:after="120"/>
      <w:outlineLvl w:val="0"/>
    </w:pPr>
    <w:rPr>
      <w:rFonts w:eastAsiaTheme="minorHAnsi"/>
      <w:b/>
      <w:color w:val="00478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963"/>
    <w:pPr>
      <w:numPr>
        <w:numId w:val="19"/>
      </w:numPr>
      <w:spacing w:after="120" w:line="276" w:lineRule="auto"/>
      <w:ind w:left="425" w:hanging="425"/>
      <w:contextualSpacing/>
      <w:outlineLvl w:val="1"/>
    </w:pPr>
    <w:rPr>
      <w:rFonts w:eastAsiaTheme="minorHAnsi"/>
      <w:b/>
      <w:color w:val="00A2E5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AD9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1AD9"/>
  </w:style>
  <w:style w:type="paragraph" w:styleId="Footer">
    <w:name w:val="footer"/>
    <w:basedOn w:val="Normal"/>
    <w:link w:val="FooterChar"/>
    <w:uiPriority w:val="99"/>
    <w:unhideWhenUsed/>
    <w:rsid w:val="00B61AD9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1AD9"/>
  </w:style>
  <w:style w:type="paragraph" w:styleId="BalloonText">
    <w:name w:val="Balloon Text"/>
    <w:basedOn w:val="Normal"/>
    <w:link w:val="BalloonTextChar"/>
    <w:uiPriority w:val="99"/>
    <w:semiHidden/>
    <w:unhideWhenUsed/>
    <w:rsid w:val="00AA0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9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2963"/>
    <w:rPr>
      <w:rFonts w:ascii="Arial" w:hAnsi="Arial" w:cs="Arial"/>
      <w:b/>
      <w:color w:val="00A2E5"/>
      <w:sz w:val="28"/>
      <w:szCs w:val="28"/>
    </w:rPr>
  </w:style>
  <w:style w:type="paragraph" w:customStyle="1" w:styleId="Default">
    <w:name w:val="Default"/>
    <w:rsid w:val="000177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A72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A72"/>
    <w:rPr>
      <w:rFonts w:eastAsiaTheme="minorEastAsia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8D4A72"/>
    <w:pPr>
      <w:spacing w:after="0" w:line="240" w:lineRule="auto"/>
    </w:pPr>
    <w:rPr>
      <w:rFonts w:eastAsiaTheme="minorEastAsia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B6AC6"/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3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FC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4B82"/>
    <w:rPr>
      <w:rFonts w:ascii="Arial" w:hAnsi="Arial" w:cs="Arial"/>
      <w:b/>
      <w:color w:val="004785"/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4213"/>
  </w:style>
  <w:style w:type="table" w:customStyle="1" w:styleId="TableGrid1">
    <w:name w:val="Table Grid1"/>
    <w:basedOn w:val="TableNormal"/>
    <w:next w:val="TableGrid"/>
    <w:uiPriority w:val="39"/>
    <w:rsid w:val="00AA421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A4B82"/>
    <w:rPr>
      <w:b/>
      <w:color w:val="004785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A4B82"/>
    <w:rPr>
      <w:rFonts w:ascii="Arial" w:eastAsiaTheme="minorEastAsia" w:hAnsi="Arial" w:cs="Arial"/>
      <w:b/>
      <w:color w:val="004785"/>
      <w:sz w:val="44"/>
      <w:szCs w:val="4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B82"/>
    <w:rPr>
      <w:bCs/>
      <w:color w:val="00478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3A4B82"/>
    <w:rPr>
      <w:rFonts w:ascii="Arial" w:eastAsiaTheme="minorEastAsia" w:hAnsi="Arial" w:cs="Arial"/>
      <w:bCs/>
      <w:color w:val="004785"/>
      <w:sz w:val="44"/>
      <w:szCs w:val="44"/>
      <w:lang w:eastAsia="en-GB"/>
    </w:rPr>
  </w:style>
  <w:style w:type="character" w:styleId="IntenseEmphasis">
    <w:name w:val="Intense Emphasis"/>
    <w:aliases w:val="Q-Pulse Footer"/>
    <w:uiPriority w:val="21"/>
    <w:qFormat/>
    <w:rsid w:val="003A4B82"/>
    <w:rPr>
      <w:rFonts w:ascii="Arial" w:hAnsi="Arial" w:cs="Arial"/>
      <w:color w:val="004785"/>
      <w:sz w:val="20"/>
      <w:szCs w:val="20"/>
    </w:rPr>
  </w:style>
  <w:style w:type="character" w:styleId="SubtleEmphasis">
    <w:name w:val="Subtle Emphasis"/>
    <w:aliases w:val="Network Header"/>
    <w:uiPriority w:val="19"/>
    <w:qFormat/>
    <w:rsid w:val="003A4B82"/>
    <w:rPr>
      <w:rFonts w:ascii="Arial" w:eastAsiaTheme="minorEastAsia" w:hAnsi="Arial" w:cs="Arial"/>
      <w:b/>
      <w:color w:val="365F91" w:themeColor="accent1" w:themeShade="BF"/>
      <w:sz w:val="24"/>
      <w:szCs w:val="24"/>
      <w:lang w:eastAsia="en-GB"/>
    </w:rPr>
  </w:style>
  <w:style w:type="character" w:styleId="Emphasis">
    <w:name w:val="Emphasis"/>
    <w:aliases w:val="Document Header"/>
    <w:uiPriority w:val="20"/>
    <w:qFormat/>
    <w:rsid w:val="003A4B82"/>
    <w:rPr>
      <w:rFonts w:ascii="Arial" w:eastAsiaTheme="minorEastAsia" w:hAnsi="Arial" w:cs="Arial"/>
      <w:bCs/>
      <w:color w:val="365F91" w:themeColor="accent1" w:themeShade="BF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A4B8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A4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A4B8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after-a-death/organisations-you-need-to-contact-and-tell-us-on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pelican.scot.nhs.uk/guidance-documents/" TargetMode="External"/><Relationship Id="rId17" Type="http://schemas.openxmlformats.org/officeDocument/2006/relationships/hyperlink" Target="https://www.togetherforshortlives.org.uk/get-support/supporting-you/family-resources/when-a-child-d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f.org.uk/content/ftb-sibling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lican.scot.nhs.uk/guidance-docum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use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lican.scot.nhs.uk/guidance-documen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hubofhope.co.u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Mus</b:Tag>
    <b:SourceType>Book</b:SourceType>
    <b:Guid>{53346E08-D2AE-4F43-B328-F8568B108918}</b:Guid>
    <b:Author>
      <b:Author>
        <b:NameList>
          <b:Person>
            <b:Last>Musallam K.M.</b:Last>
            <b:First>Rivella</b:First>
            <b:Middle>S., Vichinsky E., Rachmilewitz E.A.</b:Middle>
          </b:Person>
        </b:NameList>
      </b:Author>
    </b:Author>
    <b:Title>Non-transfusion-dependent thalassemias</b:Title>
    <b:Publisher>Haematologica</b:Publisher>
    <b:Year>2013</b:Year>
    <b:Volume>98(6)</b:Volume>
    <b:Pages>833-44</b:Pages>
    <b:RefOrder>1</b:RefOrder>
  </b:Source>
  <b:Source>
    <b:Tag>Sri08</b:Tag>
    <b:SourceType>Book</b:SourceType>
    <b:Guid>{F55A3811-953D-ED44-8794-2E10591E5283}</b:Guid>
    <b:Author>
      <b:Author>
        <b:NameList>
          <b:Person>
            <b:Last>Sripichai O.</b:Last>
            <b:First>Makarasara</b:First>
            <b:Middle>W., Munkongdee T., Kumkhaek C., Nuchprayoon I., Chuansumrit A., Chuncharunee S., Chantrakoon N., Boonmongkol P., Winichagoon P., Fucharoen S.</b:Middle>
          </b:Person>
        </b:NameList>
      </b:Author>
    </b:Author>
    <b:Title>A scoreing system for the classification off beta-thalassemia/Hb E disease severity</b:Title>
    <b:Publisher>American Journal of Hematology</b:Publisher>
    <b:Year>2008</b:Year>
    <b:Volume>83(6)</b:Volume>
    <b:Pages>482-484</b:Pages>
    <b:RefOrder>2</b:RefOrder>
  </b:Source>
  <b:Source>
    <b:Tag>Har09</b:Tag>
    <b:SourceType>Book</b:SourceType>
    <b:Guid>{18272BDC-E55C-E84A-9E75-9D9E205B5052}</b:Guid>
    <b:Author>
      <b:Author>
        <b:NameList>
          <b:Person>
            <b:Last>Harris A.M.</b:Last>
            <b:First>Atterbury</b:First>
            <b:Middle>C.L.J., Chaffe B., Elliott C., Hawkins T., Hennem S.J., Howell C., Jones J., Murray S., New H.V., Norfolk D, Pirie L., Russell J., Taylor C.</b:Middle>
          </b:Person>
        </b:NameList>
      </b:Author>
    </b:Author>
    <b:Title>Guideline on the Administration of Blood Components</b:Title>
    <b:Publisher>Brittish Committee for Standards in Haematology</b:Publisher>
    <b:Year>2009</b:Year>
    <b:RefOrder>5</b:RefOrder>
  </b:Source>
  <b:Source>
    <b:Tag>Cap14</b:Tag>
    <b:SourceType>Book</b:SourceType>
    <b:Guid>{A7590EE4-B8B5-8A48-99D3-639AFDBFA0C5}</b:Guid>
    <b:Author>
      <b:Author>
        <b:NameList>
          <b:Person>
            <b:Last>Cappellini M.D.</b:Last>
            <b:First>Cohen</b:First>
            <b:Middle>A., Porter J., Taher A., Viprakasit V.</b:Middle>
          </b:Person>
        </b:NameList>
      </b:Author>
    </b:Author>
    <b:Title>Guidelines for the management of transfusion dependent thalassaemia (TDT)</b:Title>
    <b:Publisher>Thalassaemia International Federation</b:Publisher>
    <b:Year>2014</b:Year>
    <b:RefOrder>7</b:RefOrder>
  </b:Source>
  <b:Source>
    <b:Tag>Tah13</b:Tag>
    <b:SourceType>Book</b:SourceType>
    <b:Guid>{4650A615-8F26-4044-BC6D-7DE02F0B13DC}</b:Guid>
    <b:Author>
      <b:Author>
        <b:NameList>
          <b:Person>
            <b:Last>Taher A.</b:Last>
            <b:First>Vichinsky</b:First>
            <b:Middle>E., Musallam K., Cappellini M.D., Viprakasit V.</b:Middle>
          </b:Person>
        </b:NameList>
      </b:Author>
    </b:Author>
    <b:Title>Guidelines for the management of non transfusion dependent thalassaemia (NTDT)</b:Title>
    <b:Publisher>Thalassaemia International Federation</b:Publisher>
    <b:Year>2013</b:Year>
    <b:RefOrder>4</b:RefOrder>
  </b:Source>
  <b:Source>
    <b:Tag>Bai12</b:Tag>
    <b:SourceType>Book</b:SourceType>
    <b:Guid>{CEC3D4AE-A6AE-A34E-8AA5-81B25ADD1244}</b:Guid>
    <b:Author>
      <b:Author>
        <b:NameList>
          <b:Person>
            <b:Last>Bain B.</b:Last>
            <b:First>Farrar</b:First>
            <b:Middle>L, Henthorn J., Old J., Rees D., Roper D., Stephens A., Streetly A., Wild B.</b:Middle>
          </b:Person>
        </b:NameList>
      </b:Author>
    </b:Author>
    <b:Title>Sickle Cell and Thalassaemia Handbook for Laboratories</b:Title>
    <b:Publisher>NHS Sickle Cell and Thalassaemia Screening Programme</b:Publisher>
    <b:Year>2012</b:Year>
    <b:RefOrder>3</b:RefOrder>
  </b:Source>
  <b:Source>
    <b:Tag>Dav</b:Tag>
    <b:SourceType>Book</b:SourceType>
    <b:Guid>{3805F260-1175-F746-B7E7-81B46CD6A3F7}</b:Guid>
    <b:Author>
      <b:Author>
        <b:NameList>
          <b:Person>
            <b:Last>Davies J.M.</b:Last>
            <b:First>Lewis</b:First>
            <b:Middle>M.P.N., Wimperis J., Rafi I., Ladhani S., Bolton-Maggs P.H.B.</b:Middle>
          </b:Person>
        </b:NameList>
      </b:Author>
    </b:Author>
    <b:Title>Review of guidelines for the prevention and treatment of infection in patients with an absent or dysfunctional spleen: Prepared on behalf of the British Committee for Standards in Haematology by a Working Party of the Haemato-Oncology Task Force</b:Title>
    <b:Publisher>British Journal of Haematology</b:Publisher>
    <b:Volume>155</b:Volume>
    <b:Pages>308-317</b:Pages>
    <b:Year>2011</b:Year>
    <b:RefOrder>6</b:RefOrder>
  </b:Source>
</b:Sources>
</file>

<file path=customXml/itemProps1.xml><?xml version="1.0" encoding="utf-8"?>
<ds:datastoreItem xmlns:ds="http://schemas.openxmlformats.org/officeDocument/2006/customXml" ds:itemID="{05DD38A0-BBA3-4D25-ACAB-D0036D03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Paolina Leseva</dc:creator>
  <cp:lastModifiedBy>Luke Rush</cp:lastModifiedBy>
  <cp:revision>1</cp:revision>
  <cp:lastPrinted>2023-01-06T11:35:00Z</cp:lastPrinted>
  <dcterms:created xsi:type="dcterms:W3CDTF">2023-09-26T12:17:00Z</dcterms:created>
  <dcterms:modified xsi:type="dcterms:W3CDTF">2023-09-26T12:17:00Z</dcterms:modified>
</cp:coreProperties>
</file>