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9B66" w14:textId="3684E5EE" w:rsidR="00295F59" w:rsidRDefault="00371997" w:rsidP="003A4B82">
      <w:r>
        <w:rPr>
          <w:noProof/>
        </w:rPr>
        <w:drawing>
          <wp:anchor distT="0" distB="0" distL="114300" distR="114300" simplePos="0" relativeHeight="251658240" behindDoc="0" locked="0" layoutInCell="1" allowOverlap="1" wp14:anchorId="06ACA252" wp14:editId="66B9DF3B">
            <wp:simplePos x="0" y="0"/>
            <wp:positionH relativeFrom="column">
              <wp:posOffset>4898779</wp:posOffset>
            </wp:positionH>
            <wp:positionV relativeFrom="page">
              <wp:posOffset>591764</wp:posOffset>
            </wp:positionV>
            <wp:extent cx="997459" cy="655607"/>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459" cy="655607"/>
                    </a:xfrm>
                    <a:prstGeom prst="rect">
                      <a:avLst/>
                    </a:prstGeom>
                  </pic:spPr>
                </pic:pic>
              </a:graphicData>
            </a:graphic>
            <wp14:sizeRelH relativeFrom="margin">
              <wp14:pctWidth>0</wp14:pctWidth>
            </wp14:sizeRelH>
            <wp14:sizeRelV relativeFrom="margin">
              <wp14:pctHeight>0</wp14:pctHeight>
            </wp14:sizeRelV>
          </wp:anchor>
        </w:drawing>
      </w:r>
    </w:p>
    <w:p w14:paraId="5518E313" w14:textId="77777777" w:rsidR="00295F59" w:rsidRDefault="00295F59" w:rsidP="003A4B82"/>
    <w:p w14:paraId="54724CC7" w14:textId="77777777" w:rsidR="00295F59" w:rsidRDefault="00295F59" w:rsidP="003A4B82"/>
    <w:p w14:paraId="0C220252" w14:textId="031422BA" w:rsidR="00535327" w:rsidRDefault="00D60669" w:rsidP="003A4B82">
      <w:r>
        <w:tab/>
      </w:r>
    </w:p>
    <w:p w14:paraId="4A310E81" w14:textId="5A729F40" w:rsidR="00535327" w:rsidRPr="00535327" w:rsidRDefault="00535327" w:rsidP="003A4B82"/>
    <w:p w14:paraId="53D0E82D" w14:textId="77777777" w:rsidR="003A4B82" w:rsidRDefault="003A4B82" w:rsidP="003A4B82"/>
    <w:p w14:paraId="7ED3834B" w14:textId="77777777" w:rsidR="003A4B82" w:rsidRDefault="003A4B82" w:rsidP="003A4B82"/>
    <w:p w14:paraId="1D8B62B2" w14:textId="77777777" w:rsidR="00532963" w:rsidRDefault="00532963" w:rsidP="00532963">
      <w:pPr>
        <w:pStyle w:val="Title"/>
        <w:rPr>
          <w:highlight w:val="yellow"/>
        </w:rPr>
      </w:pPr>
    </w:p>
    <w:p w14:paraId="0A051643" w14:textId="77777777" w:rsidR="00532963" w:rsidRDefault="00532963" w:rsidP="00532963">
      <w:pPr>
        <w:pStyle w:val="Title"/>
        <w:rPr>
          <w:highlight w:val="yellow"/>
        </w:rPr>
      </w:pPr>
    </w:p>
    <w:p w14:paraId="3920AC5A" w14:textId="51EB3EF3" w:rsidR="00EC23F5" w:rsidRDefault="00265A8D" w:rsidP="003A4B82">
      <w:pPr>
        <w:spacing w:line="276" w:lineRule="auto"/>
      </w:pPr>
      <w:r w:rsidRPr="00265A8D">
        <w:rPr>
          <w:b/>
          <w:noProof/>
          <w:color w:val="004785"/>
          <w:sz w:val="44"/>
          <w:szCs w:val="44"/>
        </w:rPr>
        <w:drawing>
          <wp:inline distT="0" distB="0" distL="0" distR="0" wp14:anchorId="48DADF19" wp14:editId="2E5283EC">
            <wp:extent cx="5408102" cy="955675"/>
            <wp:effectExtent l="0" t="0" r="2540" b="0"/>
            <wp:docPr id="2" name="Picture 1" descr="A black background with red letters&#10;&#10;Description automatically generated">
              <a:extLst xmlns:a="http://schemas.openxmlformats.org/drawingml/2006/main">
                <a:ext uri="{FF2B5EF4-FFF2-40B4-BE49-F238E27FC236}">
                  <a16:creationId xmlns:a16="http://schemas.microsoft.com/office/drawing/2014/main" id="{7D9FCE14-FC53-98B2-A37A-5CD4B3047F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red letters&#10;&#10;Description automatically generated">
                      <a:extLst>
                        <a:ext uri="{FF2B5EF4-FFF2-40B4-BE49-F238E27FC236}">
                          <a16:creationId xmlns:a16="http://schemas.microsoft.com/office/drawing/2014/main" id="{7D9FCE14-FC53-98B2-A37A-5CD4B3047FA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13840" cy="956689"/>
                    </a:xfrm>
                    <a:prstGeom prst="rect">
                      <a:avLst/>
                    </a:prstGeom>
                  </pic:spPr>
                </pic:pic>
              </a:graphicData>
            </a:graphic>
          </wp:inline>
        </w:drawing>
      </w:r>
    </w:p>
    <w:p w14:paraId="278D8EE4" w14:textId="77777777" w:rsidR="00265A8D" w:rsidRDefault="00265A8D" w:rsidP="003A4B82">
      <w:pPr>
        <w:spacing w:line="276" w:lineRule="auto"/>
      </w:pPr>
    </w:p>
    <w:p w14:paraId="5093AC4F" w14:textId="77777777" w:rsidR="00067432" w:rsidRDefault="00067432" w:rsidP="003A4B82">
      <w:pPr>
        <w:spacing w:line="276" w:lineRule="auto"/>
      </w:pPr>
    </w:p>
    <w:p w14:paraId="23948236" w14:textId="1ACEF8B6" w:rsidR="00262611" w:rsidRDefault="00AB397E" w:rsidP="003A4B82">
      <w:pPr>
        <w:pStyle w:val="Subtitle"/>
        <w:spacing w:line="276" w:lineRule="auto"/>
        <w:rPr>
          <w:b/>
        </w:rPr>
      </w:pPr>
      <w:r>
        <w:rPr>
          <w:b/>
        </w:rPr>
        <w:t>NICCS Diagnostic Coding Guidance – ICD10 and READ Codes</w:t>
      </w:r>
    </w:p>
    <w:p w14:paraId="19515B86" w14:textId="77777777" w:rsidR="00262611" w:rsidRDefault="00262611" w:rsidP="003A4B82">
      <w:pPr>
        <w:pStyle w:val="Subtitle"/>
        <w:spacing w:line="276" w:lineRule="auto"/>
        <w:rPr>
          <w:b/>
        </w:rPr>
      </w:pPr>
    </w:p>
    <w:p w14:paraId="7C0EC77E" w14:textId="77777777" w:rsidR="005A1EDC" w:rsidRDefault="005A1EDC" w:rsidP="003A4B82">
      <w:pPr>
        <w:spacing w:line="276" w:lineRule="auto"/>
      </w:pPr>
    </w:p>
    <w:p w14:paraId="671DF33F" w14:textId="77777777" w:rsidR="005A1EDC" w:rsidRDefault="005A1EDC" w:rsidP="003A4B82">
      <w:pPr>
        <w:spacing w:line="276" w:lineRule="auto"/>
      </w:pPr>
    </w:p>
    <w:p w14:paraId="3FB6CFDA" w14:textId="77777777" w:rsidR="00295F59" w:rsidRDefault="00295F59" w:rsidP="003A4B82">
      <w:pPr>
        <w:spacing w:line="276" w:lineRule="auto"/>
      </w:pPr>
    </w:p>
    <w:p w14:paraId="66328EB5" w14:textId="77777777" w:rsidR="00295F59" w:rsidRDefault="00295F59" w:rsidP="003A4B82">
      <w:pPr>
        <w:spacing w:line="276" w:lineRule="auto"/>
      </w:pPr>
    </w:p>
    <w:p w14:paraId="6D59C708" w14:textId="77777777" w:rsidR="00295F59" w:rsidRDefault="00295F59" w:rsidP="003A4B82">
      <w:pPr>
        <w:spacing w:line="276" w:lineRule="auto"/>
      </w:pPr>
    </w:p>
    <w:p w14:paraId="0BB9A715" w14:textId="3C99A4F3" w:rsidR="00295F59" w:rsidRPr="00532963" w:rsidRDefault="00295F59" w:rsidP="003A4B82">
      <w:pPr>
        <w:spacing w:line="276" w:lineRule="auto"/>
        <w:rPr>
          <w:b/>
          <w:bCs/>
        </w:rPr>
      </w:pPr>
      <w:r w:rsidRPr="00532963">
        <w:rPr>
          <w:b/>
          <w:bCs/>
        </w:rPr>
        <w:t>NOTE</w:t>
      </w:r>
    </w:p>
    <w:p w14:paraId="6C4B81DB" w14:textId="2F5EC66B" w:rsidR="00295F59" w:rsidRPr="00295F59" w:rsidRDefault="00295F59" w:rsidP="003A4B82">
      <w:pPr>
        <w:spacing w:line="276" w:lineRule="auto"/>
      </w:pPr>
      <w:r w:rsidRPr="00295F59">
        <w:t xml:space="preserve">This guideline is not intended to be construed or to serve as a standard of care. Standards of care are determined </w:t>
      </w:r>
      <w:r w:rsidR="00532963" w:rsidRPr="00295F59">
        <w:t>based on</w:t>
      </w:r>
      <w:r w:rsidRPr="00295F59">
        <w:t xml:space="preserve"> all clinical data available for an individual case and are subject to change as scientific knowledge and technology advance and patterns of care evolve. Adherence to guideline recommendations will not ensure</w:t>
      </w:r>
      <w:r w:rsidRPr="003A4B82">
        <w:t xml:space="preserve"> a successful outcome in every case, nor should they be construed as including all proper methods of care or excluding</w:t>
      </w:r>
      <w:r w:rsidRPr="00295F59">
        <w:t xml:space="preserve"> other acceptable methods of care aimed at the same results. The ultimate judgement must be made by the appropriate healthcare professional(s) responsible for clinical decisions regarding a particular clinical procedure or treatment plan. This judgement should only be arrived at following discussion of the options with the patient, covering the diagnostic and treatment choices available. It is advised, however, that significant departures from the national guideline or any local guidelines derived from it should be fully documented in the patient’s case notes at the time the relevant decision is taken.</w:t>
      </w:r>
    </w:p>
    <w:p w14:paraId="4315040B" w14:textId="3A7C0ABA" w:rsidR="00E72699" w:rsidRPr="00E72699" w:rsidRDefault="00E72699" w:rsidP="003A4B82">
      <w:pPr>
        <w:spacing w:line="276" w:lineRule="auto"/>
      </w:pPr>
      <w:r w:rsidRPr="00E72699">
        <w:br w:type="page"/>
      </w:r>
    </w:p>
    <w:p w14:paraId="737E6F75" w14:textId="77777777" w:rsidR="00137B2B" w:rsidRDefault="00137B2B" w:rsidP="00EC7263"/>
    <w:p w14:paraId="31EDF7A8" w14:textId="77777777" w:rsidR="00514744" w:rsidRDefault="00514744" w:rsidP="00514744">
      <w:pPr>
        <w:rPr>
          <w:b/>
          <w:bCs/>
        </w:rPr>
      </w:pPr>
      <w:r>
        <w:rPr>
          <w:b/>
          <w:bCs/>
        </w:rPr>
        <w:t>IC</w:t>
      </w:r>
      <w:r w:rsidRPr="00134C0E">
        <w:rPr>
          <w:b/>
          <w:bCs/>
        </w:rPr>
        <w:t>D10 and READ coding</w:t>
      </w:r>
    </w:p>
    <w:p w14:paraId="18FAE066" w14:textId="77777777" w:rsidR="0031260C" w:rsidRPr="00134C0E" w:rsidRDefault="0031260C" w:rsidP="00514744">
      <w:pPr>
        <w:rPr>
          <w:b/>
          <w:bCs/>
        </w:rPr>
      </w:pPr>
    </w:p>
    <w:p w14:paraId="2728BAF5" w14:textId="46EE733B" w:rsidR="001375AD" w:rsidRPr="001375AD" w:rsidRDefault="00BB4D9B" w:rsidP="00EC7263">
      <w:r w:rsidRPr="001375AD">
        <w:t xml:space="preserve">NICCS recommends that all health care professionals include the appropriate ICD10 and READ codes to NICCS clinical letters to other professionals. This will help to ensure that the correct diagnosis is recorded for the patient and will support future audits of disease prevalence and management. </w:t>
      </w:r>
    </w:p>
    <w:p w14:paraId="6C78FA0C" w14:textId="77777777" w:rsidR="001375AD" w:rsidRPr="001375AD" w:rsidRDefault="001375AD" w:rsidP="00EC7263"/>
    <w:p w14:paraId="5D98929F" w14:textId="609919A0" w:rsidR="00BB4D9B" w:rsidRDefault="00BB4D9B" w:rsidP="00EC7263">
      <w:r w:rsidRPr="001375AD">
        <w:t>At present, hospital data is coded using ICD10 and Primary Care data is most commonly coded using READ codes therefore </w:t>
      </w:r>
      <w:r w:rsidRPr="0031260C">
        <w:rPr>
          <w:b/>
          <w:bCs/>
        </w:rPr>
        <w:t>both</w:t>
      </w:r>
      <w:r w:rsidRPr="001375AD">
        <w:t> codes should be included on all correspondence.</w:t>
      </w:r>
    </w:p>
    <w:p w14:paraId="77758E26" w14:textId="77777777" w:rsidR="00137B2B" w:rsidRDefault="00137B2B" w:rsidP="00EC7263"/>
    <w:p w14:paraId="0DF4DD20" w14:textId="77777777" w:rsidR="00702F61" w:rsidRDefault="00702F61" w:rsidP="00702F61">
      <w:pPr>
        <w:rPr>
          <w:b/>
          <w:bCs/>
        </w:rPr>
      </w:pPr>
      <w:r w:rsidRPr="00702F61">
        <w:rPr>
          <w:b/>
          <w:bCs/>
        </w:rPr>
        <w:t>NICCS acknowledge that ICD11 codes have now been published, however, these codes will not be fully implemented within SMR01 data across Scotland until 2029. Therefore the current ICD10 codes should continue to be used.</w:t>
      </w:r>
    </w:p>
    <w:p w14:paraId="44C1F3C4" w14:textId="77777777" w:rsidR="00702F61" w:rsidRPr="00702F61" w:rsidRDefault="00702F61" w:rsidP="00702F61">
      <w:pPr>
        <w:rPr>
          <w:b/>
          <w:bCs/>
        </w:rPr>
      </w:pPr>
    </w:p>
    <w:p w14:paraId="00B23A2F" w14:textId="381940A7" w:rsidR="00137B2B" w:rsidRDefault="00137B2B" w:rsidP="00137B2B">
      <w:r>
        <w:t xml:space="preserve">The full list of </w:t>
      </w:r>
      <w:r w:rsidR="00963C00">
        <w:t xml:space="preserve">ICD10 and corresponding READ </w:t>
      </w:r>
      <w:r>
        <w:t xml:space="preserve">codes is available at: </w:t>
      </w:r>
      <w:hyperlink r:id="rId10" w:history="1">
        <w:r w:rsidR="008C7CBB" w:rsidRPr="008C7CBB">
          <w:rPr>
            <w:rStyle w:val="Hyperlink"/>
          </w:rPr>
          <w:t>NICCS Guidance – Network for Inherited Cardiac</w:t>
        </w:r>
        <w:r w:rsidR="008C7CBB" w:rsidRPr="008C7CBB">
          <w:rPr>
            <w:rStyle w:val="Hyperlink"/>
          </w:rPr>
          <w:t xml:space="preserve"> </w:t>
        </w:r>
        <w:r w:rsidR="008C7CBB" w:rsidRPr="008C7CBB">
          <w:rPr>
            <w:rStyle w:val="Hyperlink"/>
          </w:rPr>
          <w:t>Conditions Scotland</w:t>
        </w:r>
      </w:hyperlink>
    </w:p>
    <w:p w14:paraId="529C580A" w14:textId="77777777" w:rsidR="00137B2B" w:rsidRDefault="00137B2B" w:rsidP="00EC7263">
      <w:pPr>
        <w:rPr>
          <w:b/>
          <w:bCs/>
        </w:rPr>
      </w:pPr>
    </w:p>
    <w:p w14:paraId="79A1F9D5" w14:textId="5486CE11" w:rsidR="00EC7263" w:rsidRPr="00134C0E" w:rsidRDefault="00EC7263" w:rsidP="00E153A6">
      <w:pPr>
        <w:rPr>
          <w:b/>
          <w:bCs/>
        </w:rPr>
      </w:pPr>
      <w:r w:rsidRPr="00134C0E">
        <w:rPr>
          <w:b/>
          <w:bCs/>
        </w:rPr>
        <w:t>What if the diagnosis is unclear and has still to be investigated (e.g. when the patient is first referred to a NICCS clinic)?</w:t>
      </w:r>
    </w:p>
    <w:p w14:paraId="608BDC4F" w14:textId="77777777" w:rsidR="001375AD" w:rsidRDefault="001375AD" w:rsidP="00EC7263"/>
    <w:p w14:paraId="55FA53C4" w14:textId="6EF87D6B" w:rsidR="00EC7263" w:rsidRPr="00134C0E" w:rsidRDefault="00EC7263" w:rsidP="00EC7263">
      <w:r w:rsidRPr="00134C0E">
        <w:t>At the beginning of the investigations, the precise diagnosis may be unclear. ICD10 and R</w:t>
      </w:r>
      <w:r w:rsidR="005B1811">
        <w:t>EAD</w:t>
      </w:r>
      <w:r w:rsidRPr="00134C0E">
        <w:t xml:space="preserve"> provide codes for this situation.</w:t>
      </w:r>
    </w:p>
    <w:p w14:paraId="66A58992" w14:textId="77777777" w:rsidR="00EC7263" w:rsidRDefault="00EC7263" w:rsidP="00EC7263">
      <w:pPr>
        <w:rPr>
          <w:b/>
          <w:bCs/>
        </w:rPr>
      </w:pPr>
    </w:p>
    <w:p w14:paraId="7F6C7BE9" w14:textId="5C027DEB" w:rsidR="00EC7263" w:rsidRPr="00D42B4D" w:rsidRDefault="00EC7263" w:rsidP="00137B2B">
      <w:pPr>
        <w:pStyle w:val="ListParagraph"/>
        <w:numPr>
          <w:ilvl w:val="0"/>
          <w:numId w:val="6"/>
        </w:numPr>
        <w:ind w:left="360"/>
        <w:rPr>
          <w:b/>
          <w:bCs/>
        </w:rPr>
      </w:pPr>
      <w:r w:rsidRPr="00D42B4D">
        <w:rPr>
          <w:b/>
          <w:bCs/>
        </w:rPr>
        <w:t>Prolonged QTc on an ECG vs Long QT Syndrome</w:t>
      </w:r>
    </w:p>
    <w:p w14:paraId="7FDAA78E" w14:textId="77777777" w:rsidR="00EC7263" w:rsidRDefault="00EC7263" w:rsidP="00137B2B">
      <w:pPr>
        <w:ind w:left="360"/>
      </w:pPr>
      <w:r w:rsidRPr="00134C0E">
        <w:t>For example, if a patient has a prolonged QT interval, but it is not certain if they have genetic Long QT syndrome, you can use the codes R94.31 and G3217.00, G</w:t>
      </w:r>
      <w:proofErr w:type="gramStart"/>
      <w:r w:rsidRPr="00134C0E">
        <w:t>57..</w:t>
      </w:r>
      <w:proofErr w:type="gramEnd"/>
      <w:r w:rsidRPr="00134C0E">
        <w:t>0, or G57z</w:t>
      </w:r>
    </w:p>
    <w:p w14:paraId="418C5797" w14:textId="77777777" w:rsidR="00EC7263" w:rsidRPr="00134C0E" w:rsidRDefault="00EC7263" w:rsidP="00137B2B">
      <w:pPr>
        <w:ind w:left="360"/>
      </w:pPr>
    </w:p>
    <w:tbl>
      <w:tblPr>
        <w:tblW w:w="8500" w:type="dxa"/>
        <w:tblInd w:w="473" w:type="dxa"/>
        <w:tblLook w:val="04A0" w:firstRow="1" w:lastRow="0" w:firstColumn="1" w:lastColumn="0" w:noHBand="0" w:noVBand="1"/>
      </w:tblPr>
      <w:tblGrid>
        <w:gridCol w:w="3114"/>
        <w:gridCol w:w="1134"/>
        <w:gridCol w:w="2835"/>
        <w:gridCol w:w="1417"/>
      </w:tblGrid>
      <w:tr w:rsidR="00EC7263" w:rsidRPr="00134C0E" w14:paraId="4352E9E3" w14:textId="77777777" w:rsidTr="00137B2B">
        <w:trPr>
          <w:trHeight w:val="276"/>
        </w:trPr>
        <w:tc>
          <w:tcPr>
            <w:tcW w:w="3114" w:type="dxa"/>
            <w:tcBorders>
              <w:top w:val="single" w:sz="4" w:space="0" w:color="auto"/>
              <w:left w:val="single" w:sz="4" w:space="0" w:color="auto"/>
              <w:bottom w:val="single" w:sz="4" w:space="0" w:color="000000"/>
              <w:right w:val="single" w:sz="4" w:space="0" w:color="auto"/>
            </w:tcBorders>
            <w:shd w:val="clear" w:color="auto" w:fill="1F497D" w:themeFill="text2"/>
            <w:noWrap/>
            <w:vAlign w:val="center"/>
          </w:tcPr>
          <w:p w14:paraId="025AF3FE" w14:textId="77777777" w:rsidR="00EC7263" w:rsidRPr="00134C0E" w:rsidRDefault="00EC7263" w:rsidP="00B267BB">
            <w:pPr>
              <w:rPr>
                <w:rFonts w:eastAsia="Times New Roman"/>
                <w:color w:val="FFFFFF" w:themeColor="background1"/>
              </w:rPr>
            </w:pPr>
            <w:r w:rsidRPr="00134C0E">
              <w:rPr>
                <w:rFonts w:eastAsia="Times New Roman"/>
                <w:color w:val="FFFFFF" w:themeColor="background1"/>
              </w:rPr>
              <w:t>Diagnosis</w:t>
            </w:r>
          </w:p>
        </w:tc>
        <w:tc>
          <w:tcPr>
            <w:tcW w:w="1134" w:type="dxa"/>
            <w:tcBorders>
              <w:top w:val="single" w:sz="4" w:space="0" w:color="auto"/>
              <w:left w:val="single" w:sz="4" w:space="0" w:color="auto"/>
              <w:bottom w:val="single" w:sz="4" w:space="0" w:color="000000"/>
              <w:right w:val="single" w:sz="4" w:space="0" w:color="auto"/>
            </w:tcBorders>
            <w:shd w:val="clear" w:color="auto" w:fill="1F497D" w:themeFill="text2"/>
            <w:noWrap/>
            <w:vAlign w:val="center"/>
          </w:tcPr>
          <w:p w14:paraId="764EFF0F" w14:textId="77777777" w:rsidR="00EC7263" w:rsidRPr="00134C0E" w:rsidRDefault="00EC7263" w:rsidP="00B267BB">
            <w:pPr>
              <w:jc w:val="center"/>
              <w:rPr>
                <w:rFonts w:eastAsia="Times New Roman"/>
                <w:color w:val="FFFFFF" w:themeColor="background1"/>
              </w:rPr>
            </w:pPr>
            <w:r w:rsidRPr="00134C0E">
              <w:rPr>
                <w:rFonts w:eastAsia="Times New Roman"/>
                <w:color w:val="FFFFFF" w:themeColor="background1"/>
              </w:rPr>
              <w:t>ICD10</w:t>
            </w:r>
          </w:p>
        </w:tc>
        <w:tc>
          <w:tcPr>
            <w:tcW w:w="2835" w:type="dxa"/>
            <w:tcBorders>
              <w:top w:val="single" w:sz="4" w:space="0" w:color="auto"/>
              <w:left w:val="nil"/>
              <w:bottom w:val="single" w:sz="4" w:space="0" w:color="auto"/>
              <w:right w:val="single" w:sz="4" w:space="0" w:color="auto"/>
            </w:tcBorders>
            <w:shd w:val="clear" w:color="auto" w:fill="1F497D" w:themeFill="text2"/>
            <w:noWrap/>
            <w:vAlign w:val="bottom"/>
          </w:tcPr>
          <w:p w14:paraId="4F9BCD99" w14:textId="77777777" w:rsidR="00EC7263" w:rsidRPr="00134C0E" w:rsidRDefault="00EC7263" w:rsidP="00B267BB">
            <w:pPr>
              <w:rPr>
                <w:rFonts w:eastAsia="Times New Roman"/>
                <w:color w:val="FFFFFF" w:themeColor="background1"/>
              </w:rPr>
            </w:pPr>
            <w:r w:rsidRPr="00134C0E">
              <w:rPr>
                <w:rFonts w:eastAsia="Times New Roman"/>
                <w:color w:val="FFFFFF" w:themeColor="background1"/>
              </w:rPr>
              <w:t>Read code diagnosis</w:t>
            </w:r>
          </w:p>
        </w:tc>
        <w:tc>
          <w:tcPr>
            <w:tcW w:w="1417" w:type="dxa"/>
            <w:tcBorders>
              <w:top w:val="single" w:sz="4" w:space="0" w:color="auto"/>
              <w:left w:val="nil"/>
              <w:bottom w:val="single" w:sz="4" w:space="0" w:color="auto"/>
              <w:right w:val="single" w:sz="4" w:space="0" w:color="auto"/>
            </w:tcBorders>
            <w:shd w:val="clear" w:color="auto" w:fill="1F497D" w:themeFill="text2"/>
            <w:noWrap/>
          </w:tcPr>
          <w:p w14:paraId="272B4DC3" w14:textId="77777777" w:rsidR="00EC7263" w:rsidRPr="00134C0E" w:rsidRDefault="00EC7263" w:rsidP="00B267BB">
            <w:pPr>
              <w:jc w:val="center"/>
              <w:rPr>
                <w:rFonts w:eastAsia="Times New Roman"/>
                <w:color w:val="FFFFFF" w:themeColor="background1"/>
              </w:rPr>
            </w:pPr>
            <w:r w:rsidRPr="00134C0E">
              <w:rPr>
                <w:rFonts w:eastAsia="Times New Roman"/>
                <w:color w:val="FFFFFF" w:themeColor="background1"/>
              </w:rPr>
              <w:t>Read code</w:t>
            </w:r>
          </w:p>
        </w:tc>
      </w:tr>
      <w:tr w:rsidR="00EC7263" w:rsidRPr="00134C0E" w14:paraId="3FEDAE4A" w14:textId="77777777" w:rsidTr="00137B2B">
        <w:trPr>
          <w:trHeight w:val="276"/>
        </w:trPr>
        <w:tc>
          <w:tcPr>
            <w:tcW w:w="3114"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5EE37E35" w14:textId="77777777" w:rsidR="00EC7263" w:rsidRPr="00134C0E" w:rsidRDefault="00EC7263" w:rsidP="00B267BB">
            <w:pPr>
              <w:rPr>
                <w:rFonts w:eastAsia="Times New Roman"/>
                <w:color w:val="000000"/>
              </w:rPr>
            </w:pPr>
            <w:r w:rsidRPr="00134C0E">
              <w:rPr>
                <w:rFonts w:eastAsia="Times New Roman"/>
                <w:color w:val="000000"/>
              </w:rPr>
              <w:t>Abnormal electrocardiogram (ECG)(EKG)</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586DA1CD" w14:textId="77777777" w:rsidR="00EC7263" w:rsidRPr="00134C0E" w:rsidRDefault="00EC7263" w:rsidP="00B267BB">
            <w:pPr>
              <w:jc w:val="center"/>
              <w:rPr>
                <w:rFonts w:eastAsia="Times New Roman"/>
                <w:color w:val="000000"/>
              </w:rPr>
            </w:pPr>
            <w:r w:rsidRPr="00134C0E">
              <w:rPr>
                <w:rFonts w:eastAsia="Times New Roman"/>
                <w:color w:val="000000"/>
              </w:rPr>
              <w:t>R94.31</w:t>
            </w:r>
          </w:p>
        </w:tc>
        <w:tc>
          <w:tcPr>
            <w:tcW w:w="2835"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00E51A8E" w14:textId="77777777" w:rsidR="00EC7263" w:rsidRPr="00134C0E" w:rsidRDefault="00EC7263" w:rsidP="00B267BB">
            <w:pPr>
              <w:rPr>
                <w:rFonts w:eastAsia="Times New Roman"/>
                <w:color w:val="000000"/>
              </w:rPr>
            </w:pPr>
            <w:r w:rsidRPr="00134C0E">
              <w:rPr>
                <w:rFonts w:eastAsia="Times New Roman"/>
                <w:color w:val="000000"/>
              </w:rPr>
              <w:t>ECG abnormal</w:t>
            </w:r>
          </w:p>
        </w:tc>
        <w:tc>
          <w:tcPr>
            <w:tcW w:w="1417"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70386E55" w14:textId="77777777" w:rsidR="00EC7263" w:rsidRPr="00134C0E" w:rsidRDefault="00EC7263" w:rsidP="00B267BB">
            <w:pPr>
              <w:jc w:val="center"/>
              <w:rPr>
                <w:rFonts w:eastAsia="Times New Roman"/>
                <w:color w:val="000000"/>
              </w:rPr>
            </w:pPr>
            <w:r w:rsidRPr="00134C0E">
              <w:rPr>
                <w:rFonts w:eastAsia="Times New Roman"/>
                <w:color w:val="000000"/>
              </w:rPr>
              <w:t>G3217.00</w:t>
            </w:r>
          </w:p>
        </w:tc>
      </w:tr>
      <w:tr w:rsidR="00EC7263" w:rsidRPr="00134C0E" w14:paraId="1308B780" w14:textId="77777777" w:rsidTr="00137B2B">
        <w:trPr>
          <w:trHeight w:val="276"/>
        </w:trPr>
        <w:tc>
          <w:tcPr>
            <w:tcW w:w="311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C441232" w14:textId="77777777" w:rsidR="00EC7263" w:rsidRPr="00134C0E" w:rsidRDefault="00EC7263" w:rsidP="00B267BB">
            <w:pPr>
              <w:rPr>
                <w:rFonts w:eastAsia="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A7ABC50" w14:textId="77777777" w:rsidR="00EC7263" w:rsidRPr="00134C0E" w:rsidRDefault="00EC7263" w:rsidP="00B267BB">
            <w:pPr>
              <w:rPr>
                <w:rFonts w:eastAsia="Times New Roman"/>
                <w:color w:val="000000"/>
              </w:rPr>
            </w:pPr>
          </w:p>
        </w:tc>
        <w:tc>
          <w:tcPr>
            <w:tcW w:w="2835" w:type="dxa"/>
            <w:tcBorders>
              <w:top w:val="nil"/>
              <w:left w:val="nil"/>
              <w:bottom w:val="single" w:sz="4" w:space="0" w:color="auto"/>
              <w:right w:val="single" w:sz="4" w:space="0" w:color="auto"/>
            </w:tcBorders>
            <w:shd w:val="clear" w:color="auto" w:fill="DAEEF3" w:themeFill="accent5" w:themeFillTint="33"/>
            <w:noWrap/>
            <w:vAlign w:val="bottom"/>
            <w:hideMark/>
          </w:tcPr>
          <w:p w14:paraId="51973316" w14:textId="77777777" w:rsidR="00EC7263" w:rsidRPr="00134C0E" w:rsidRDefault="00EC7263" w:rsidP="00B267BB">
            <w:pPr>
              <w:rPr>
                <w:rFonts w:eastAsia="Times New Roman"/>
                <w:color w:val="000000"/>
              </w:rPr>
            </w:pPr>
            <w:r w:rsidRPr="00134C0E">
              <w:rPr>
                <w:rFonts w:eastAsia="Times New Roman"/>
                <w:color w:val="000000"/>
              </w:rPr>
              <w:t>Cardiac dysrhythmias</w:t>
            </w:r>
          </w:p>
        </w:tc>
        <w:tc>
          <w:tcPr>
            <w:tcW w:w="1417" w:type="dxa"/>
            <w:tcBorders>
              <w:top w:val="nil"/>
              <w:left w:val="nil"/>
              <w:bottom w:val="single" w:sz="4" w:space="0" w:color="auto"/>
              <w:right w:val="single" w:sz="4" w:space="0" w:color="auto"/>
            </w:tcBorders>
            <w:shd w:val="clear" w:color="auto" w:fill="DAEEF3" w:themeFill="accent5" w:themeFillTint="33"/>
            <w:noWrap/>
            <w:hideMark/>
          </w:tcPr>
          <w:p w14:paraId="308FADBB" w14:textId="77777777" w:rsidR="00EC7263" w:rsidRPr="00134C0E" w:rsidRDefault="00EC7263" w:rsidP="00B267BB">
            <w:pPr>
              <w:jc w:val="center"/>
              <w:rPr>
                <w:rFonts w:eastAsia="Times New Roman"/>
                <w:color w:val="000000"/>
              </w:rPr>
            </w:pPr>
            <w:r w:rsidRPr="00134C0E">
              <w:rPr>
                <w:rFonts w:eastAsia="Times New Roman"/>
                <w:color w:val="000000"/>
              </w:rPr>
              <w:t>G</w:t>
            </w:r>
            <w:proofErr w:type="gramStart"/>
            <w:r w:rsidRPr="00134C0E">
              <w:rPr>
                <w:rFonts w:eastAsia="Times New Roman"/>
                <w:color w:val="000000"/>
              </w:rPr>
              <w:t>57..</w:t>
            </w:r>
            <w:proofErr w:type="gramEnd"/>
            <w:r w:rsidRPr="00134C0E">
              <w:rPr>
                <w:rFonts w:eastAsia="Times New Roman"/>
                <w:color w:val="000000"/>
              </w:rPr>
              <w:t>00</w:t>
            </w:r>
          </w:p>
        </w:tc>
      </w:tr>
      <w:tr w:rsidR="00EC7263" w:rsidRPr="00134C0E" w14:paraId="71E9FAE6" w14:textId="77777777" w:rsidTr="00137B2B">
        <w:trPr>
          <w:trHeight w:val="276"/>
        </w:trPr>
        <w:tc>
          <w:tcPr>
            <w:tcW w:w="311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507477CD" w14:textId="77777777" w:rsidR="00EC7263" w:rsidRPr="00134C0E" w:rsidRDefault="00EC7263" w:rsidP="00B267BB">
            <w:pPr>
              <w:rPr>
                <w:rFonts w:eastAsia="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F24C632" w14:textId="77777777" w:rsidR="00EC7263" w:rsidRPr="00134C0E" w:rsidRDefault="00EC7263" w:rsidP="00B267BB">
            <w:pPr>
              <w:rPr>
                <w:rFonts w:eastAsia="Times New Roman"/>
                <w:color w:val="000000"/>
              </w:rPr>
            </w:pPr>
          </w:p>
        </w:tc>
        <w:tc>
          <w:tcPr>
            <w:tcW w:w="2835" w:type="dxa"/>
            <w:tcBorders>
              <w:top w:val="nil"/>
              <w:left w:val="nil"/>
              <w:bottom w:val="single" w:sz="4" w:space="0" w:color="auto"/>
              <w:right w:val="single" w:sz="4" w:space="0" w:color="auto"/>
            </w:tcBorders>
            <w:shd w:val="clear" w:color="auto" w:fill="DAEEF3" w:themeFill="accent5" w:themeFillTint="33"/>
            <w:noWrap/>
            <w:vAlign w:val="bottom"/>
            <w:hideMark/>
          </w:tcPr>
          <w:p w14:paraId="60D43405" w14:textId="77777777" w:rsidR="00EC7263" w:rsidRPr="00134C0E" w:rsidRDefault="00EC7263" w:rsidP="00B267BB">
            <w:pPr>
              <w:rPr>
                <w:rFonts w:eastAsia="Times New Roman"/>
                <w:color w:val="000000"/>
              </w:rPr>
            </w:pPr>
            <w:r w:rsidRPr="00134C0E">
              <w:rPr>
                <w:rFonts w:eastAsia="Times New Roman"/>
                <w:color w:val="000000"/>
              </w:rPr>
              <w:t>Cardiac dysrhythmias NOS</w:t>
            </w:r>
          </w:p>
        </w:tc>
        <w:tc>
          <w:tcPr>
            <w:tcW w:w="1417" w:type="dxa"/>
            <w:tcBorders>
              <w:top w:val="nil"/>
              <w:left w:val="nil"/>
              <w:bottom w:val="single" w:sz="4" w:space="0" w:color="auto"/>
              <w:right w:val="single" w:sz="4" w:space="0" w:color="auto"/>
            </w:tcBorders>
            <w:shd w:val="clear" w:color="auto" w:fill="DAEEF3" w:themeFill="accent5" w:themeFillTint="33"/>
            <w:noWrap/>
            <w:hideMark/>
          </w:tcPr>
          <w:p w14:paraId="47DC8513" w14:textId="77777777" w:rsidR="00EC7263" w:rsidRPr="00134C0E" w:rsidRDefault="00EC7263" w:rsidP="00B267BB">
            <w:pPr>
              <w:jc w:val="center"/>
              <w:rPr>
                <w:rFonts w:eastAsia="Times New Roman"/>
                <w:color w:val="000000"/>
              </w:rPr>
            </w:pPr>
            <w:r w:rsidRPr="00134C0E">
              <w:rPr>
                <w:rFonts w:eastAsia="Times New Roman"/>
                <w:color w:val="000000"/>
              </w:rPr>
              <w:t>G57z</w:t>
            </w:r>
          </w:p>
        </w:tc>
      </w:tr>
    </w:tbl>
    <w:p w14:paraId="384B30F5" w14:textId="77777777" w:rsidR="00EC7263" w:rsidRPr="00134C0E" w:rsidRDefault="00EC7263" w:rsidP="00137B2B">
      <w:pPr>
        <w:ind w:left="360"/>
      </w:pPr>
    </w:p>
    <w:p w14:paraId="37A1F3F5" w14:textId="77777777" w:rsidR="00EC7263" w:rsidRPr="00134C0E" w:rsidRDefault="00EC7263" w:rsidP="00137B2B">
      <w:pPr>
        <w:ind w:left="360"/>
      </w:pPr>
      <w:r w:rsidRPr="00134C0E">
        <w:t>Once a diagnosis such as Long QT Syndrome (I45.81/G56y5), Brugada syndrome (Q23.8/G57y2) or other disorder has been made, the revised code can be included on the next letter.</w:t>
      </w:r>
    </w:p>
    <w:p w14:paraId="23A82ADC" w14:textId="77777777" w:rsidR="00EC7263" w:rsidRDefault="00EC7263" w:rsidP="00137B2B">
      <w:pPr>
        <w:rPr>
          <w:b/>
          <w:bCs/>
        </w:rPr>
      </w:pPr>
    </w:p>
    <w:p w14:paraId="5B18C662" w14:textId="779B80C6" w:rsidR="00EC7263" w:rsidRPr="00920422" w:rsidRDefault="00EC7263" w:rsidP="00137B2B">
      <w:pPr>
        <w:pStyle w:val="ListParagraph"/>
        <w:numPr>
          <w:ilvl w:val="0"/>
          <w:numId w:val="6"/>
        </w:numPr>
        <w:ind w:left="360"/>
        <w:rPr>
          <w:b/>
          <w:bCs/>
        </w:rPr>
      </w:pPr>
      <w:r w:rsidRPr="00920422">
        <w:rPr>
          <w:b/>
          <w:bCs/>
        </w:rPr>
        <w:t>Cardiomyopathy/cardiac enlargement/ventricular hypertrophy vs HCM, DCM</w:t>
      </w:r>
    </w:p>
    <w:p w14:paraId="607F8946" w14:textId="77777777" w:rsidR="00EC7263" w:rsidRDefault="00EC7263" w:rsidP="00137B2B">
      <w:pPr>
        <w:ind w:left="360"/>
      </w:pPr>
      <w:r w:rsidRPr="00134C0E">
        <w:t>Similarly, if a patient has a cardiomyopathy, or cardiac enlargement, but the cause has not been clarified, you can use I42.9/G55z or I51.7/G5y34 initially.</w:t>
      </w:r>
    </w:p>
    <w:p w14:paraId="422B052B" w14:textId="77777777" w:rsidR="00EC7263" w:rsidRPr="00134C0E" w:rsidRDefault="00EC7263" w:rsidP="00137B2B">
      <w:pPr>
        <w:ind w:left="360"/>
      </w:pPr>
    </w:p>
    <w:tbl>
      <w:tblPr>
        <w:tblW w:w="8500" w:type="dxa"/>
        <w:tblInd w:w="473" w:type="dxa"/>
        <w:tblLook w:val="04A0" w:firstRow="1" w:lastRow="0" w:firstColumn="1" w:lastColumn="0" w:noHBand="0" w:noVBand="1"/>
      </w:tblPr>
      <w:tblGrid>
        <w:gridCol w:w="3114"/>
        <w:gridCol w:w="1134"/>
        <w:gridCol w:w="2835"/>
        <w:gridCol w:w="1417"/>
      </w:tblGrid>
      <w:tr w:rsidR="00EC7263" w:rsidRPr="00134C0E" w14:paraId="7DF4B859" w14:textId="77777777" w:rsidTr="00137B2B">
        <w:trPr>
          <w:trHeight w:val="276"/>
        </w:trPr>
        <w:tc>
          <w:tcPr>
            <w:tcW w:w="3114" w:type="dxa"/>
            <w:tcBorders>
              <w:top w:val="single" w:sz="4" w:space="0" w:color="auto"/>
              <w:left w:val="single" w:sz="4" w:space="0" w:color="auto"/>
              <w:bottom w:val="single" w:sz="4" w:space="0" w:color="000000"/>
              <w:right w:val="single" w:sz="4" w:space="0" w:color="auto"/>
            </w:tcBorders>
            <w:shd w:val="clear" w:color="auto" w:fill="1F497D" w:themeFill="text2"/>
            <w:noWrap/>
            <w:vAlign w:val="center"/>
          </w:tcPr>
          <w:p w14:paraId="17C21CF2" w14:textId="77777777" w:rsidR="00EC7263" w:rsidRPr="00134C0E" w:rsidRDefault="00EC7263" w:rsidP="00B267BB">
            <w:pPr>
              <w:rPr>
                <w:rFonts w:eastAsia="Times New Roman"/>
                <w:color w:val="FFFFFF" w:themeColor="background1"/>
              </w:rPr>
            </w:pPr>
            <w:r w:rsidRPr="00134C0E">
              <w:rPr>
                <w:rFonts w:eastAsia="Times New Roman"/>
                <w:color w:val="FFFFFF" w:themeColor="background1"/>
              </w:rPr>
              <w:t>Diagnosis</w:t>
            </w:r>
          </w:p>
        </w:tc>
        <w:tc>
          <w:tcPr>
            <w:tcW w:w="1134" w:type="dxa"/>
            <w:tcBorders>
              <w:top w:val="single" w:sz="4" w:space="0" w:color="auto"/>
              <w:left w:val="single" w:sz="4" w:space="0" w:color="auto"/>
              <w:bottom w:val="single" w:sz="4" w:space="0" w:color="000000"/>
              <w:right w:val="single" w:sz="4" w:space="0" w:color="auto"/>
            </w:tcBorders>
            <w:shd w:val="clear" w:color="auto" w:fill="1F497D" w:themeFill="text2"/>
            <w:noWrap/>
            <w:vAlign w:val="center"/>
          </w:tcPr>
          <w:p w14:paraId="0CDD3394" w14:textId="77777777" w:rsidR="00EC7263" w:rsidRPr="00134C0E" w:rsidRDefault="00EC7263" w:rsidP="00B267BB">
            <w:pPr>
              <w:jc w:val="center"/>
              <w:rPr>
                <w:rFonts w:eastAsia="Times New Roman"/>
                <w:color w:val="FFFFFF" w:themeColor="background1"/>
              </w:rPr>
            </w:pPr>
            <w:r w:rsidRPr="00134C0E">
              <w:rPr>
                <w:rFonts w:eastAsia="Times New Roman"/>
                <w:color w:val="FFFFFF" w:themeColor="background1"/>
              </w:rPr>
              <w:t>ICD10</w:t>
            </w:r>
          </w:p>
        </w:tc>
        <w:tc>
          <w:tcPr>
            <w:tcW w:w="2835" w:type="dxa"/>
            <w:tcBorders>
              <w:top w:val="single" w:sz="4" w:space="0" w:color="auto"/>
              <w:left w:val="nil"/>
              <w:bottom w:val="single" w:sz="4" w:space="0" w:color="auto"/>
              <w:right w:val="single" w:sz="4" w:space="0" w:color="auto"/>
            </w:tcBorders>
            <w:shd w:val="clear" w:color="auto" w:fill="1F497D" w:themeFill="text2"/>
            <w:noWrap/>
            <w:vAlign w:val="bottom"/>
          </w:tcPr>
          <w:p w14:paraId="1D106911" w14:textId="77777777" w:rsidR="00EC7263" w:rsidRPr="00134C0E" w:rsidRDefault="00EC7263" w:rsidP="00B267BB">
            <w:pPr>
              <w:rPr>
                <w:rFonts w:eastAsia="Times New Roman"/>
                <w:color w:val="FFFFFF" w:themeColor="background1"/>
              </w:rPr>
            </w:pPr>
            <w:r w:rsidRPr="00134C0E">
              <w:rPr>
                <w:rFonts w:eastAsia="Times New Roman"/>
                <w:color w:val="FFFFFF" w:themeColor="background1"/>
              </w:rPr>
              <w:t>Read code diagnosis</w:t>
            </w:r>
          </w:p>
        </w:tc>
        <w:tc>
          <w:tcPr>
            <w:tcW w:w="1417" w:type="dxa"/>
            <w:tcBorders>
              <w:top w:val="single" w:sz="4" w:space="0" w:color="auto"/>
              <w:left w:val="nil"/>
              <w:bottom w:val="single" w:sz="4" w:space="0" w:color="auto"/>
              <w:right w:val="single" w:sz="4" w:space="0" w:color="auto"/>
            </w:tcBorders>
            <w:shd w:val="clear" w:color="auto" w:fill="1F497D" w:themeFill="text2"/>
            <w:noWrap/>
          </w:tcPr>
          <w:p w14:paraId="199B82C6" w14:textId="77777777" w:rsidR="00EC7263" w:rsidRPr="00134C0E" w:rsidRDefault="00EC7263" w:rsidP="00B267BB">
            <w:pPr>
              <w:jc w:val="center"/>
              <w:rPr>
                <w:rFonts w:eastAsia="Times New Roman"/>
                <w:color w:val="FFFFFF" w:themeColor="background1"/>
              </w:rPr>
            </w:pPr>
            <w:r w:rsidRPr="00134C0E">
              <w:rPr>
                <w:rFonts w:eastAsia="Times New Roman"/>
                <w:color w:val="FFFFFF" w:themeColor="background1"/>
              </w:rPr>
              <w:t>Read code</w:t>
            </w:r>
          </w:p>
        </w:tc>
      </w:tr>
      <w:tr w:rsidR="00EC7263" w:rsidRPr="00134C0E" w14:paraId="67081715" w14:textId="77777777" w:rsidTr="00137B2B">
        <w:trPr>
          <w:trHeight w:val="339"/>
        </w:trPr>
        <w:tc>
          <w:tcPr>
            <w:tcW w:w="311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051270B" w14:textId="77777777" w:rsidR="00EC7263" w:rsidRPr="00134C0E" w:rsidRDefault="00EC7263" w:rsidP="00B267BB">
            <w:pPr>
              <w:rPr>
                <w:rFonts w:eastAsia="Times New Roman"/>
                <w:color w:val="000000"/>
              </w:rPr>
            </w:pPr>
            <w:r w:rsidRPr="00134C0E">
              <w:rPr>
                <w:color w:val="000000"/>
              </w:rPr>
              <w:t>Cardiomyopathy, unspecified</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4539C73" w14:textId="77777777" w:rsidR="00EC7263" w:rsidRPr="00134C0E" w:rsidRDefault="00EC7263" w:rsidP="00B267BB">
            <w:pPr>
              <w:rPr>
                <w:rFonts w:eastAsia="Times New Roman"/>
                <w:color w:val="000000"/>
              </w:rPr>
            </w:pPr>
            <w:r w:rsidRPr="00134C0E">
              <w:rPr>
                <w:color w:val="000000"/>
              </w:rPr>
              <w:t>I42.9</w:t>
            </w:r>
          </w:p>
        </w:tc>
        <w:tc>
          <w:tcPr>
            <w:tcW w:w="2835"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06A5BE40" w14:textId="77777777" w:rsidR="00EC7263" w:rsidRPr="00134C0E" w:rsidRDefault="00EC7263" w:rsidP="00B267BB">
            <w:pPr>
              <w:rPr>
                <w:rFonts w:eastAsia="Times New Roman"/>
                <w:color w:val="000000"/>
              </w:rPr>
            </w:pPr>
            <w:r w:rsidRPr="00134C0E">
              <w:rPr>
                <w:color w:val="000000"/>
              </w:rPr>
              <w:t>Cardiomyopathy NOS</w:t>
            </w:r>
          </w:p>
          <w:p w14:paraId="1F8041E4" w14:textId="77777777" w:rsidR="00EC7263" w:rsidRPr="00134C0E" w:rsidRDefault="00EC7263" w:rsidP="00B267BB">
            <w:pPr>
              <w:rPr>
                <w:rFonts w:eastAsia="Times New Roman"/>
                <w:color w:val="000000"/>
              </w:rPr>
            </w:pPr>
          </w:p>
        </w:tc>
        <w:tc>
          <w:tcPr>
            <w:tcW w:w="1417"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166C9ADA" w14:textId="77777777" w:rsidR="00EC7263" w:rsidRPr="00134C0E" w:rsidRDefault="00EC7263" w:rsidP="00B267BB">
            <w:pPr>
              <w:rPr>
                <w:rFonts w:eastAsia="Times New Roman"/>
                <w:color w:val="000000"/>
              </w:rPr>
            </w:pPr>
            <w:r w:rsidRPr="00134C0E">
              <w:rPr>
                <w:color w:val="000000"/>
              </w:rPr>
              <w:t>G55z</w:t>
            </w:r>
          </w:p>
          <w:p w14:paraId="5F7D5A8F" w14:textId="77777777" w:rsidR="00EC7263" w:rsidRPr="00134C0E" w:rsidRDefault="00EC7263" w:rsidP="00B267BB">
            <w:pPr>
              <w:jc w:val="center"/>
              <w:rPr>
                <w:rFonts w:eastAsia="Times New Roman"/>
                <w:color w:val="000000"/>
              </w:rPr>
            </w:pPr>
          </w:p>
        </w:tc>
      </w:tr>
      <w:tr w:rsidR="00EC7263" w:rsidRPr="00134C0E" w14:paraId="40AABD95" w14:textId="77777777" w:rsidTr="00137B2B">
        <w:trPr>
          <w:trHeight w:val="339"/>
        </w:trPr>
        <w:tc>
          <w:tcPr>
            <w:tcW w:w="3114" w:type="dxa"/>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bottom"/>
          </w:tcPr>
          <w:p w14:paraId="3C6A797D" w14:textId="77777777" w:rsidR="00EC7263" w:rsidRPr="00134C0E" w:rsidRDefault="00EC7263" w:rsidP="00B267BB">
            <w:pPr>
              <w:rPr>
                <w:color w:val="000000"/>
              </w:rPr>
            </w:pPr>
            <w:r w:rsidRPr="00134C0E">
              <w:rPr>
                <w:color w:val="000000"/>
              </w:rPr>
              <w:t>Ventricular hypertrophy</w:t>
            </w:r>
          </w:p>
        </w:tc>
        <w:tc>
          <w:tcPr>
            <w:tcW w:w="1134" w:type="dxa"/>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bottom"/>
          </w:tcPr>
          <w:p w14:paraId="5BC389B9" w14:textId="77777777" w:rsidR="00EC7263" w:rsidRPr="00134C0E" w:rsidRDefault="00EC7263" w:rsidP="00B267BB">
            <w:pPr>
              <w:rPr>
                <w:color w:val="000000"/>
              </w:rPr>
            </w:pPr>
            <w:r w:rsidRPr="00134C0E">
              <w:rPr>
                <w:color w:val="000000"/>
              </w:rPr>
              <w:t>I51.7</w:t>
            </w:r>
          </w:p>
        </w:tc>
        <w:tc>
          <w:tcPr>
            <w:tcW w:w="2835"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77876BD3" w14:textId="77777777" w:rsidR="00EC7263" w:rsidRPr="00134C0E" w:rsidRDefault="00EC7263" w:rsidP="00B267BB">
            <w:pPr>
              <w:rPr>
                <w:color w:val="000000"/>
              </w:rPr>
            </w:pPr>
            <w:r w:rsidRPr="00134C0E">
              <w:rPr>
                <w:color w:val="000000"/>
              </w:rPr>
              <w:t>Ventricular hypertrophy</w:t>
            </w:r>
          </w:p>
        </w:tc>
        <w:tc>
          <w:tcPr>
            <w:tcW w:w="1417"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214073E4" w14:textId="77777777" w:rsidR="00EC7263" w:rsidRPr="00134C0E" w:rsidRDefault="00EC7263" w:rsidP="00B267BB">
            <w:pPr>
              <w:rPr>
                <w:color w:val="000000"/>
              </w:rPr>
            </w:pPr>
            <w:r w:rsidRPr="00134C0E">
              <w:rPr>
                <w:color w:val="000000"/>
              </w:rPr>
              <w:t>G5y34</w:t>
            </w:r>
          </w:p>
        </w:tc>
      </w:tr>
    </w:tbl>
    <w:p w14:paraId="7137C91B" w14:textId="77777777" w:rsidR="00EC7263" w:rsidRPr="00134C0E" w:rsidRDefault="00EC7263" w:rsidP="00137B2B">
      <w:pPr>
        <w:ind w:left="360"/>
      </w:pPr>
    </w:p>
    <w:p w14:paraId="6D5D15A0" w14:textId="65B2CCEE" w:rsidR="00920422" w:rsidRDefault="00EC7263" w:rsidP="00137B2B">
      <w:pPr>
        <w:ind w:left="360"/>
        <w:rPr>
          <w:b/>
          <w:bCs/>
        </w:rPr>
      </w:pPr>
      <w:r w:rsidRPr="00134C0E">
        <w:lastRenderedPageBreak/>
        <w:t>When the diagnosis is clear, codes such as Hypertrophic obstructive cardiomyopathy (I42.1/G551) or Dilated cardiomyopathy (I42.0/G5544) can be included on the next letter.</w:t>
      </w:r>
      <w:r>
        <w:br/>
      </w:r>
    </w:p>
    <w:p w14:paraId="2A734F6C" w14:textId="77777777" w:rsidR="00137B2B" w:rsidRDefault="00137B2B" w:rsidP="00EC7263">
      <w:pPr>
        <w:rPr>
          <w:b/>
          <w:bCs/>
        </w:rPr>
      </w:pPr>
    </w:p>
    <w:p w14:paraId="7E86E7E4" w14:textId="542BBC7A" w:rsidR="00EC7263" w:rsidRPr="00134C0E" w:rsidRDefault="00EC7263" w:rsidP="00EC7263">
      <w:pPr>
        <w:rPr>
          <w:b/>
          <w:bCs/>
        </w:rPr>
      </w:pPr>
      <w:r w:rsidRPr="00134C0E">
        <w:rPr>
          <w:b/>
          <w:bCs/>
        </w:rPr>
        <w:t>Family history and screening appointments</w:t>
      </w:r>
    </w:p>
    <w:p w14:paraId="187B18CE" w14:textId="2E9AE999" w:rsidR="00EC7263" w:rsidRDefault="00EC7263" w:rsidP="00EC7263">
      <w:r w:rsidRPr="00134C0E">
        <w:t>For relatives at risk of an Inherited Cardiac Condition, the coding is less satisfactory, but there are Family history options such as Z82.41/12, Z83.42/126B, and Z82.49/12C2, 12C3, 12C, or for a screening</w:t>
      </w:r>
      <w:r>
        <w:t xml:space="preserve"> </w:t>
      </w:r>
      <w:r w:rsidRPr="00134C0E">
        <w:t>appointment, Z13.6/ZV7B</w:t>
      </w:r>
      <w:r w:rsidR="0024790F">
        <w:t>.</w:t>
      </w:r>
    </w:p>
    <w:p w14:paraId="77C96651" w14:textId="77777777" w:rsidR="00137B2B" w:rsidRDefault="00137B2B" w:rsidP="00EC7263"/>
    <w:p w14:paraId="444491FC" w14:textId="77777777" w:rsidR="00167ECB" w:rsidRPr="00134C0E" w:rsidRDefault="00167ECB" w:rsidP="00EC7263"/>
    <w:p w14:paraId="267B4470" w14:textId="77777777" w:rsidR="0001120B" w:rsidRDefault="0001120B" w:rsidP="0001120B">
      <w:pPr>
        <w:rPr>
          <w:lang w:eastAsia="en-US"/>
        </w:rPr>
      </w:pPr>
    </w:p>
    <w:sectPr w:rsidR="0001120B" w:rsidSect="00D273EE">
      <w:headerReference w:type="even" r:id="rId11"/>
      <w:headerReference w:type="default" r:id="rId12"/>
      <w:footerReference w:type="even" r:id="rId13"/>
      <w:footerReference w:type="default" r:id="rId14"/>
      <w:headerReference w:type="first" r:id="rId15"/>
      <w:footerReference w:type="first" r:id="rId16"/>
      <w:pgSz w:w="11906" w:h="16838"/>
      <w:pgMar w:top="1560" w:right="1440" w:bottom="1135" w:left="1440" w:header="708"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5E63" w14:textId="77777777" w:rsidR="003953E9" w:rsidRDefault="003953E9" w:rsidP="003A4B82">
      <w:r>
        <w:separator/>
      </w:r>
    </w:p>
    <w:p w14:paraId="5B28C671" w14:textId="77777777" w:rsidR="003953E9" w:rsidRDefault="003953E9" w:rsidP="003A4B82"/>
    <w:p w14:paraId="4651CC05" w14:textId="77777777" w:rsidR="003953E9" w:rsidRDefault="003953E9" w:rsidP="003A4B82"/>
    <w:p w14:paraId="4B0CB608" w14:textId="77777777" w:rsidR="003953E9" w:rsidRDefault="003953E9" w:rsidP="003A4B82"/>
  </w:endnote>
  <w:endnote w:type="continuationSeparator" w:id="0">
    <w:p w14:paraId="1CA4473C" w14:textId="77777777" w:rsidR="003953E9" w:rsidRDefault="003953E9" w:rsidP="003A4B82">
      <w:r>
        <w:continuationSeparator/>
      </w:r>
    </w:p>
    <w:p w14:paraId="654D98E5" w14:textId="77777777" w:rsidR="003953E9" w:rsidRDefault="003953E9" w:rsidP="003A4B82"/>
    <w:p w14:paraId="6CEF69B2" w14:textId="77777777" w:rsidR="003953E9" w:rsidRDefault="003953E9" w:rsidP="003A4B82"/>
    <w:p w14:paraId="37B6D012" w14:textId="77777777" w:rsidR="003953E9" w:rsidRDefault="003953E9" w:rsidP="003A4B82"/>
  </w:endnote>
  <w:endnote w:type="continuationNotice" w:id="1">
    <w:p w14:paraId="215B2CAD" w14:textId="77777777" w:rsidR="003953E9" w:rsidRDefault="0039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3BC9" w14:textId="77777777" w:rsidR="00D16C20" w:rsidRDefault="00D1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2F97" w14:textId="777E7AE8" w:rsidR="00FF7344" w:rsidRPr="00532963" w:rsidRDefault="009B3A73" w:rsidP="00532963">
    <w:pPr>
      <w:pStyle w:val="Footer"/>
    </w:pPr>
    <w:r>
      <w:rPr>
        <w:rStyle w:val="IntenseEmphasis"/>
      </w:rPr>
      <w:t>NSD610-007.</w:t>
    </w:r>
    <w:r w:rsidR="00F871A7">
      <w:rPr>
        <w:rStyle w:val="IntenseEmphasis"/>
      </w:rPr>
      <w:t>18 d1.1</w:t>
    </w:r>
    <w:r w:rsidR="00532963" w:rsidRPr="003A4B82">
      <w:rPr>
        <w:rStyle w:val="IntenseEmphasis"/>
      </w:rPr>
      <w:tab/>
    </w:r>
    <w:r w:rsidR="00532963" w:rsidRPr="003A4B82">
      <w:rPr>
        <w:rStyle w:val="IntenseEmphasis"/>
      </w:rPr>
      <w:tab/>
      <w:t xml:space="preserve">Page </w:t>
    </w:r>
    <w:r w:rsidR="00532963" w:rsidRPr="003A4B82">
      <w:rPr>
        <w:rStyle w:val="IntenseEmphasis"/>
      </w:rPr>
      <w:fldChar w:fldCharType="begin"/>
    </w:r>
    <w:r w:rsidR="00532963" w:rsidRPr="003A4B82">
      <w:rPr>
        <w:rStyle w:val="IntenseEmphasis"/>
      </w:rPr>
      <w:instrText xml:space="preserve"> PAGE  \* Arabic  \* MERGEFORMAT </w:instrText>
    </w:r>
    <w:r w:rsidR="00532963" w:rsidRPr="003A4B82">
      <w:rPr>
        <w:rStyle w:val="IntenseEmphasis"/>
      </w:rPr>
      <w:fldChar w:fldCharType="separate"/>
    </w:r>
    <w:r w:rsidR="00532963">
      <w:rPr>
        <w:rStyle w:val="IntenseEmphasis"/>
      </w:rPr>
      <w:t>1</w:t>
    </w:r>
    <w:r w:rsidR="00532963" w:rsidRPr="003A4B82">
      <w:rPr>
        <w:rStyle w:val="IntenseEmphasis"/>
      </w:rPr>
      <w:fldChar w:fldCharType="end"/>
    </w:r>
    <w:r w:rsidR="00532963" w:rsidRPr="003A4B82">
      <w:rPr>
        <w:rStyle w:val="IntenseEmphasis"/>
      </w:rPr>
      <w:t xml:space="preserve"> of </w:t>
    </w:r>
    <w:r w:rsidR="00532963" w:rsidRPr="003A4B82">
      <w:rPr>
        <w:rStyle w:val="IntenseEmphasis"/>
      </w:rPr>
      <w:fldChar w:fldCharType="begin"/>
    </w:r>
    <w:r w:rsidR="00532963" w:rsidRPr="003A4B82">
      <w:rPr>
        <w:rStyle w:val="IntenseEmphasis"/>
      </w:rPr>
      <w:instrText xml:space="preserve"> NUMPAGES  \* Arabic  \* MERGEFORMAT </w:instrText>
    </w:r>
    <w:r w:rsidR="00532963" w:rsidRPr="003A4B82">
      <w:rPr>
        <w:rStyle w:val="IntenseEmphasis"/>
      </w:rPr>
      <w:fldChar w:fldCharType="separate"/>
    </w:r>
    <w:r w:rsidR="00532963">
      <w:rPr>
        <w:rStyle w:val="IntenseEmphasis"/>
      </w:rPr>
      <w:t>3</w:t>
    </w:r>
    <w:r w:rsidR="00532963" w:rsidRPr="003A4B82">
      <w:rPr>
        <w:rStyle w:val="IntenseEmphas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E663" w14:textId="3E838319" w:rsidR="00FF7344" w:rsidRPr="003A4B82" w:rsidRDefault="004F6219" w:rsidP="003A4B82">
    <w:pPr>
      <w:pStyle w:val="Footer"/>
    </w:pPr>
    <w:r>
      <w:rPr>
        <w:rStyle w:val="IntenseEmphasis"/>
      </w:rPr>
      <w:t>NSD610-007.</w:t>
    </w:r>
    <w:r w:rsidR="0016508B">
      <w:rPr>
        <w:rStyle w:val="IntenseEmphasis"/>
      </w:rPr>
      <w:t xml:space="preserve">18 </w:t>
    </w:r>
    <w:r w:rsidR="00F871A7">
      <w:rPr>
        <w:rStyle w:val="IntenseEmphasis"/>
      </w:rPr>
      <w:t>d1.1</w:t>
    </w:r>
    <w:r w:rsidR="00E75020" w:rsidRPr="003A4B82">
      <w:rPr>
        <w:rStyle w:val="IntenseEmphasis"/>
      </w:rPr>
      <w:tab/>
    </w:r>
    <w:r w:rsidR="00E75020" w:rsidRPr="003A4B82">
      <w:rPr>
        <w:rStyle w:val="IntenseEmphasis"/>
      </w:rPr>
      <w:tab/>
      <w:t xml:space="preserve">Page </w:t>
    </w:r>
    <w:r w:rsidR="00E75020" w:rsidRPr="003A4B82">
      <w:rPr>
        <w:rStyle w:val="IntenseEmphasis"/>
      </w:rPr>
      <w:fldChar w:fldCharType="begin"/>
    </w:r>
    <w:r w:rsidR="00E75020" w:rsidRPr="003A4B82">
      <w:rPr>
        <w:rStyle w:val="IntenseEmphasis"/>
      </w:rPr>
      <w:instrText xml:space="preserve"> PAGE  \* Arabic  \* MERGEFORMAT </w:instrText>
    </w:r>
    <w:r w:rsidR="00E75020" w:rsidRPr="003A4B82">
      <w:rPr>
        <w:rStyle w:val="IntenseEmphasis"/>
      </w:rPr>
      <w:fldChar w:fldCharType="separate"/>
    </w:r>
    <w:r w:rsidR="00E75020" w:rsidRPr="003A4B82">
      <w:rPr>
        <w:rStyle w:val="IntenseEmphasis"/>
      </w:rPr>
      <w:t>2</w:t>
    </w:r>
    <w:r w:rsidR="00E75020" w:rsidRPr="003A4B82">
      <w:rPr>
        <w:rStyle w:val="IntenseEmphasis"/>
      </w:rPr>
      <w:fldChar w:fldCharType="end"/>
    </w:r>
    <w:r w:rsidR="00E75020" w:rsidRPr="003A4B82">
      <w:rPr>
        <w:rStyle w:val="IntenseEmphasis"/>
      </w:rPr>
      <w:t xml:space="preserve"> of </w:t>
    </w:r>
    <w:r w:rsidR="00E75020" w:rsidRPr="003A4B82">
      <w:rPr>
        <w:rStyle w:val="IntenseEmphasis"/>
      </w:rPr>
      <w:fldChar w:fldCharType="begin"/>
    </w:r>
    <w:r w:rsidR="00E75020" w:rsidRPr="003A4B82">
      <w:rPr>
        <w:rStyle w:val="IntenseEmphasis"/>
      </w:rPr>
      <w:instrText xml:space="preserve"> NUMPAGES  \* Arabic  \* MERGEFORMAT </w:instrText>
    </w:r>
    <w:r w:rsidR="00E75020" w:rsidRPr="003A4B82">
      <w:rPr>
        <w:rStyle w:val="IntenseEmphasis"/>
      </w:rPr>
      <w:fldChar w:fldCharType="separate"/>
    </w:r>
    <w:r w:rsidR="00E75020" w:rsidRPr="003A4B82">
      <w:rPr>
        <w:rStyle w:val="IntenseEmphasis"/>
      </w:rPr>
      <w:t>5</w:t>
    </w:r>
    <w:r w:rsidR="00E75020" w:rsidRPr="003A4B82">
      <w:rPr>
        <w:rStyle w:val="IntenseEmphas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3FA6" w14:textId="77777777" w:rsidR="003953E9" w:rsidRDefault="003953E9" w:rsidP="003A4B82">
      <w:r>
        <w:separator/>
      </w:r>
    </w:p>
    <w:p w14:paraId="164D9547" w14:textId="77777777" w:rsidR="003953E9" w:rsidRDefault="003953E9" w:rsidP="003A4B82"/>
    <w:p w14:paraId="396493B1" w14:textId="77777777" w:rsidR="003953E9" w:rsidRDefault="003953E9" w:rsidP="003A4B82"/>
    <w:p w14:paraId="6282D167" w14:textId="77777777" w:rsidR="003953E9" w:rsidRDefault="003953E9" w:rsidP="003A4B82"/>
  </w:footnote>
  <w:footnote w:type="continuationSeparator" w:id="0">
    <w:p w14:paraId="0713272A" w14:textId="77777777" w:rsidR="003953E9" w:rsidRDefault="003953E9" w:rsidP="003A4B82">
      <w:r>
        <w:continuationSeparator/>
      </w:r>
    </w:p>
    <w:p w14:paraId="04D22B16" w14:textId="77777777" w:rsidR="003953E9" w:rsidRDefault="003953E9" w:rsidP="003A4B82"/>
    <w:p w14:paraId="0DCBA0A5" w14:textId="77777777" w:rsidR="003953E9" w:rsidRDefault="003953E9" w:rsidP="003A4B82"/>
    <w:p w14:paraId="57DE8F84" w14:textId="77777777" w:rsidR="003953E9" w:rsidRDefault="003953E9" w:rsidP="003A4B82"/>
  </w:footnote>
  <w:footnote w:type="continuationNotice" w:id="1">
    <w:p w14:paraId="4B8229D3" w14:textId="77777777" w:rsidR="003953E9" w:rsidRDefault="00395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2011" w14:textId="0B71CAA5" w:rsidR="00D16C20" w:rsidRDefault="00D16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1CC" w14:textId="2777CD19" w:rsidR="00295F59" w:rsidRPr="003A4B82" w:rsidRDefault="00F670FF" w:rsidP="003A4B82">
    <w:pPr>
      <w:pStyle w:val="Header"/>
      <w:rPr>
        <w:rStyle w:val="SubtleEmphasis"/>
      </w:rPr>
    </w:pPr>
    <w:r>
      <w:rPr>
        <w:rStyle w:val="SubtleEmphasis"/>
      </w:rPr>
      <w:t>Network for Inherited Cardiac Conditions Scotland</w:t>
    </w:r>
  </w:p>
  <w:p w14:paraId="167B24B0" w14:textId="77777777" w:rsidR="00AB397E" w:rsidRPr="00AB397E" w:rsidRDefault="00AB397E" w:rsidP="00AB397E">
    <w:pPr>
      <w:pStyle w:val="Subtitle"/>
      <w:spacing w:line="276" w:lineRule="auto"/>
      <w:rPr>
        <w:bCs w:val="0"/>
        <w:sz w:val="24"/>
        <w:szCs w:val="24"/>
      </w:rPr>
    </w:pPr>
    <w:r w:rsidRPr="00AB397E">
      <w:rPr>
        <w:bCs w:val="0"/>
        <w:sz w:val="24"/>
        <w:szCs w:val="24"/>
      </w:rPr>
      <w:t>NICCS Diagnostic Coding Guidance – ICD10 and READ Codes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666E" w14:textId="066FD602" w:rsidR="00AE514B" w:rsidRDefault="00535327" w:rsidP="003A4B82">
    <w:pPr>
      <w:pStyle w:val="Header"/>
    </w:pPr>
    <w:r>
      <w:rPr>
        <w:noProof/>
      </w:rPr>
      <mc:AlternateContent>
        <mc:Choice Requires="wps">
          <w:drawing>
            <wp:anchor distT="0" distB="0" distL="114300" distR="114300" simplePos="0" relativeHeight="251658240" behindDoc="0" locked="0" layoutInCell="1" allowOverlap="1" wp14:anchorId="25137AF5" wp14:editId="7E0CEBA3">
              <wp:simplePos x="0" y="0"/>
              <wp:positionH relativeFrom="column">
                <wp:posOffset>-1990725</wp:posOffset>
              </wp:positionH>
              <wp:positionV relativeFrom="paragraph">
                <wp:posOffset>-1880529</wp:posOffset>
              </wp:positionV>
              <wp:extent cx="9664065" cy="3971238"/>
              <wp:effectExtent l="0" t="819150" r="0" b="829945"/>
              <wp:wrapNone/>
              <wp:docPr id="1" name="Wav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0376783">
                        <a:off x="0" y="0"/>
                        <a:ext cx="9664065" cy="3971238"/>
                      </a:xfrm>
                      <a:prstGeom prst="wave">
                        <a:avLst>
                          <a:gd name="adj1" fmla="val 20000"/>
                          <a:gd name="adj2" fmla="val -2017"/>
                        </a:avLst>
                      </a:prstGeom>
                      <a:solidFill>
                        <a:srgbClr val="004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C952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alt="&quot;&quot;" style="position:absolute;margin-left:-156.75pt;margin-top:-148.05pt;width:760.95pt;height:312.7pt;rotation:-133607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" adj="4320,10364" fillcolor="#004785" stroked="f" strokeweight="2pt"/>
          </w:pict>
        </mc:Fallback>
      </mc:AlternateContent>
    </w:r>
  </w:p>
  <w:p w14:paraId="098B9EBB" w14:textId="77777777" w:rsidR="00FF7344" w:rsidRDefault="00FF7344" w:rsidP="003A4B82"/>
  <w:p w14:paraId="08E04F55" w14:textId="77777777" w:rsidR="00FF7344" w:rsidRDefault="00FF7344" w:rsidP="003A4B82"/>
  <w:p w14:paraId="533EA8C0" w14:textId="77777777" w:rsidR="00FF7344" w:rsidRDefault="00FF7344" w:rsidP="003A4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AC4"/>
    <w:multiLevelType w:val="hybridMultilevel"/>
    <w:tmpl w:val="45764E68"/>
    <w:lvl w:ilvl="0" w:tplc="3612B0F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8CD1E69"/>
    <w:multiLevelType w:val="hybridMultilevel"/>
    <w:tmpl w:val="A8FA2516"/>
    <w:lvl w:ilvl="0" w:tplc="084CC672">
      <w:start w:val="1"/>
      <w:numFmt w:val="decimal"/>
      <w:pStyle w:val="Heading2"/>
      <w:lvlText w:val="%1."/>
      <w:lvlJc w:val="left"/>
      <w:pPr>
        <w:ind w:left="720" w:hanging="360"/>
      </w:pPr>
      <w:rPr>
        <w:rFonts w:hint="default"/>
        <w:color w:val="00A2E5"/>
        <w:sz w:val="28"/>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92FF7"/>
    <w:multiLevelType w:val="hybridMultilevel"/>
    <w:tmpl w:val="D7542AEC"/>
    <w:lvl w:ilvl="0" w:tplc="DC02E8DC">
      <w:numFmt w:val="bullet"/>
      <w:lvlText w:val="-"/>
      <w:lvlJc w:val="left"/>
      <w:pPr>
        <w:ind w:left="76" w:hanging="360"/>
      </w:pPr>
      <w:rPr>
        <w:rFonts w:ascii="Arial" w:eastAsiaTheme="minorEastAsia"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 w15:restartNumberingAfterBreak="0">
    <w:nsid w:val="3E127EAD"/>
    <w:multiLevelType w:val="hybridMultilevel"/>
    <w:tmpl w:val="FA983564"/>
    <w:lvl w:ilvl="0" w:tplc="A6D243D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64420F0A"/>
    <w:multiLevelType w:val="hybridMultilevel"/>
    <w:tmpl w:val="450A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FC5653"/>
    <w:multiLevelType w:val="hybridMultilevel"/>
    <w:tmpl w:val="04C2D212"/>
    <w:lvl w:ilvl="0" w:tplc="461C312E">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167886">
    <w:abstractNumId w:val="1"/>
  </w:num>
  <w:num w:numId="2" w16cid:durableId="1798404040">
    <w:abstractNumId w:val="5"/>
  </w:num>
  <w:num w:numId="3" w16cid:durableId="91823421">
    <w:abstractNumId w:val="0"/>
  </w:num>
  <w:num w:numId="4" w16cid:durableId="1104500960">
    <w:abstractNumId w:val="3"/>
  </w:num>
  <w:num w:numId="5" w16cid:durableId="1772509989">
    <w:abstractNumId w:val="2"/>
  </w:num>
  <w:num w:numId="6" w16cid:durableId="101452925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colormru v:ext="edit" colors="#004785,#00a2e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26"/>
    <w:rsid w:val="00004B6F"/>
    <w:rsid w:val="0001120B"/>
    <w:rsid w:val="000177A8"/>
    <w:rsid w:val="00025B02"/>
    <w:rsid w:val="00032C55"/>
    <w:rsid w:val="00036824"/>
    <w:rsid w:val="0003731A"/>
    <w:rsid w:val="00050EA6"/>
    <w:rsid w:val="00052ADD"/>
    <w:rsid w:val="0005672E"/>
    <w:rsid w:val="00067432"/>
    <w:rsid w:val="00087CE8"/>
    <w:rsid w:val="00094FC9"/>
    <w:rsid w:val="000B3B7F"/>
    <w:rsid w:val="000D4728"/>
    <w:rsid w:val="001166B5"/>
    <w:rsid w:val="001375AD"/>
    <w:rsid w:val="00137B2B"/>
    <w:rsid w:val="00153B75"/>
    <w:rsid w:val="00161F6F"/>
    <w:rsid w:val="00162C2C"/>
    <w:rsid w:val="0016508B"/>
    <w:rsid w:val="00167ECB"/>
    <w:rsid w:val="00190AC0"/>
    <w:rsid w:val="001A4774"/>
    <w:rsid w:val="001A487F"/>
    <w:rsid w:val="001A71ED"/>
    <w:rsid w:val="001B4068"/>
    <w:rsid w:val="001C3967"/>
    <w:rsid w:val="001F6C59"/>
    <w:rsid w:val="0020605E"/>
    <w:rsid w:val="00221AEE"/>
    <w:rsid w:val="00225BE1"/>
    <w:rsid w:val="0023787D"/>
    <w:rsid w:val="00240D75"/>
    <w:rsid w:val="00243032"/>
    <w:rsid w:val="00245111"/>
    <w:rsid w:val="00245592"/>
    <w:rsid w:val="0024790F"/>
    <w:rsid w:val="00262611"/>
    <w:rsid w:val="00265A8D"/>
    <w:rsid w:val="00282FA1"/>
    <w:rsid w:val="00283F56"/>
    <w:rsid w:val="00290125"/>
    <w:rsid w:val="00295F59"/>
    <w:rsid w:val="002B31E6"/>
    <w:rsid w:val="002D3B1C"/>
    <w:rsid w:val="0031260C"/>
    <w:rsid w:val="0032554C"/>
    <w:rsid w:val="003259EB"/>
    <w:rsid w:val="00336650"/>
    <w:rsid w:val="003519F4"/>
    <w:rsid w:val="00371997"/>
    <w:rsid w:val="00371D6D"/>
    <w:rsid w:val="00382E4B"/>
    <w:rsid w:val="00384B46"/>
    <w:rsid w:val="00392132"/>
    <w:rsid w:val="003953E9"/>
    <w:rsid w:val="003A2C06"/>
    <w:rsid w:val="003A4B82"/>
    <w:rsid w:val="003B5EC3"/>
    <w:rsid w:val="003D4CA1"/>
    <w:rsid w:val="003E5FD2"/>
    <w:rsid w:val="003F5E0D"/>
    <w:rsid w:val="00414C9C"/>
    <w:rsid w:val="00417AD7"/>
    <w:rsid w:val="00417CE0"/>
    <w:rsid w:val="00457071"/>
    <w:rsid w:val="00472D90"/>
    <w:rsid w:val="00496F18"/>
    <w:rsid w:val="004A4F18"/>
    <w:rsid w:val="004E01BD"/>
    <w:rsid w:val="004F5655"/>
    <w:rsid w:val="004F6219"/>
    <w:rsid w:val="00514744"/>
    <w:rsid w:val="00532963"/>
    <w:rsid w:val="00535327"/>
    <w:rsid w:val="005526F3"/>
    <w:rsid w:val="005A1EDC"/>
    <w:rsid w:val="005A3C7F"/>
    <w:rsid w:val="005B1811"/>
    <w:rsid w:val="005C1B23"/>
    <w:rsid w:val="005C3338"/>
    <w:rsid w:val="005C7FDD"/>
    <w:rsid w:val="005E664B"/>
    <w:rsid w:val="005F44B0"/>
    <w:rsid w:val="0062327F"/>
    <w:rsid w:val="00634785"/>
    <w:rsid w:val="00634E88"/>
    <w:rsid w:val="00637F73"/>
    <w:rsid w:val="00641E11"/>
    <w:rsid w:val="006679C7"/>
    <w:rsid w:val="006827B9"/>
    <w:rsid w:val="00682E4F"/>
    <w:rsid w:val="006843A9"/>
    <w:rsid w:val="00695929"/>
    <w:rsid w:val="006A4BDE"/>
    <w:rsid w:val="006F0B75"/>
    <w:rsid w:val="00702F61"/>
    <w:rsid w:val="00745FC2"/>
    <w:rsid w:val="007D0D7E"/>
    <w:rsid w:val="007D2454"/>
    <w:rsid w:val="007E42EB"/>
    <w:rsid w:val="00812923"/>
    <w:rsid w:val="00861F9A"/>
    <w:rsid w:val="008737A7"/>
    <w:rsid w:val="00882826"/>
    <w:rsid w:val="008830A7"/>
    <w:rsid w:val="00887584"/>
    <w:rsid w:val="008B66AB"/>
    <w:rsid w:val="008C7CBB"/>
    <w:rsid w:val="008D1CE1"/>
    <w:rsid w:val="008D4A72"/>
    <w:rsid w:val="008E4062"/>
    <w:rsid w:val="008E5211"/>
    <w:rsid w:val="008F59F7"/>
    <w:rsid w:val="00920422"/>
    <w:rsid w:val="00930C6E"/>
    <w:rsid w:val="00963C00"/>
    <w:rsid w:val="00965CCC"/>
    <w:rsid w:val="00970490"/>
    <w:rsid w:val="00971EA3"/>
    <w:rsid w:val="00982966"/>
    <w:rsid w:val="009945FD"/>
    <w:rsid w:val="009A7A2B"/>
    <w:rsid w:val="009B3A73"/>
    <w:rsid w:val="009B6AC6"/>
    <w:rsid w:val="009C1358"/>
    <w:rsid w:val="009D1AC6"/>
    <w:rsid w:val="009D4F8F"/>
    <w:rsid w:val="009F2030"/>
    <w:rsid w:val="00A060EB"/>
    <w:rsid w:val="00A22622"/>
    <w:rsid w:val="00A306FA"/>
    <w:rsid w:val="00A70944"/>
    <w:rsid w:val="00A75900"/>
    <w:rsid w:val="00AA0C8F"/>
    <w:rsid w:val="00AA2828"/>
    <w:rsid w:val="00AA4213"/>
    <w:rsid w:val="00AB397E"/>
    <w:rsid w:val="00AB7C04"/>
    <w:rsid w:val="00AC78E1"/>
    <w:rsid w:val="00AE514B"/>
    <w:rsid w:val="00B049BA"/>
    <w:rsid w:val="00B3664F"/>
    <w:rsid w:val="00B61AD9"/>
    <w:rsid w:val="00B6404B"/>
    <w:rsid w:val="00BA372B"/>
    <w:rsid w:val="00BA5579"/>
    <w:rsid w:val="00BB4D9B"/>
    <w:rsid w:val="00BC6316"/>
    <w:rsid w:val="00BD6EEA"/>
    <w:rsid w:val="00BF7474"/>
    <w:rsid w:val="00C10D8B"/>
    <w:rsid w:val="00C36CE7"/>
    <w:rsid w:val="00C52503"/>
    <w:rsid w:val="00C63425"/>
    <w:rsid w:val="00C81BE9"/>
    <w:rsid w:val="00C95390"/>
    <w:rsid w:val="00CA7E5D"/>
    <w:rsid w:val="00CB0B9B"/>
    <w:rsid w:val="00CC0F73"/>
    <w:rsid w:val="00CC1230"/>
    <w:rsid w:val="00CD2C2A"/>
    <w:rsid w:val="00CF4AFA"/>
    <w:rsid w:val="00D16C20"/>
    <w:rsid w:val="00D17E71"/>
    <w:rsid w:val="00D273EE"/>
    <w:rsid w:val="00D362BF"/>
    <w:rsid w:val="00D42B4D"/>
    <w:rsid w:val="00D60669"/>
    <w:rsid w:val="00D74871"/>
    <w:rsid w:val="00D9166D"/>
    <w:rsid w:val="00DB4E31"/>
    <w:rsid w:val="00DD1A99"/>
    <w:rsid w:val="00DE078E"/>
    <w:rsid w:val="00E05122"/>
    <w:rsid w:val="00E153A6"/>
    <w:rsid w:val="00E21E42"/>
    <w:rsid w:val="00E43C48"/>
    <w:rsid w:val="00E4686A"/>
    <w:rsid w:val="00E50F72"/>
    <w:rsid w:val="00E72699"/>
    <w:rsid w:val="00E75020"/>
    <w:rsid w:val="00E84F28"/>
    <w:rsid w:val="00EC23F5"/>
    <w:rsid w:val="00EC6C35"/>
    <w:rsid w:val="00EC7263"/>
    <w:rsid w:val="00EE114F"/>
    <w:rsid w:val="00EE2B12"/>
    <w:rsid w:val="00EE4195"/>
    <w:rsid w:val="00F02F9B"/>
    <w:rsid w:val="00F23A2B"/>
    <w:rsid w:val="00F277C7"/>
    <w:rsid w:val="00F41042"/>
    <w:rsid w:val="00F53303"/>
    <w:rsid w:val="00F670FF"/>
    <w:rsid w:val="00F7376B"/>
    <w:rsid w:val="00F81525"/>
    <w:rsid w:val="00F871A7"/>
    <w:rsid w:val="00FA31BC"/>
    <w:rsid w:val="00FB3B4D"/>
    <w:rsid w:val="00FB5AE5"/>
    <w:rsid w:val="00FE1D59"/>
    <w:rsid w:val="00FF069A"/>
    <w:rsid w:val="00FF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785,#00a2e5"/>
    </o:shapedefaults>
    <o:shapelayout v:ext="edit">
      <o:idmap v:ext="edit" data="2"/>
    </o:shapelayout>
  </w:shapeDefaults>
  <w:decimalSymbol w:val="."/>
  <w:listSeparator w:val=","/>
  <w14:docId w14:val="4128D80F"/>
  <w15:docId w15:val="{35471F8A-6F4F-442D-9B84-16C3146E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82"/>
    <w:pPr>
      <w:spacing w:after="0" w:line="240" w:lineRule="auto"/>
    </w:pPr>
    <w:rPr>
      <w:rFonts w:ascii="Arial" w:eastAsiaTheme="minorEastAsia" w:hAnsi="Arial" w:cs="Arial"/>
      <w:color w:val="000000" w:themeColor="text1"/>
      <w:sz w:val="24"/>
      <w:szCs w:val="24"/>
      <w:lang w:eastAsia="en-GB"/>
    </w:rPr>
  </w:style>
  <w:style w:type="paragraph" w:styleId="Heading1">
    <w:name w:val="heading 1"/>
    <w:basedOn w:val="Normal"/>
    <w:next w:val="Normal"/>
    <w:link w:val="Heading1Char"/>
    <w:uiPriority w:val="9"/>
    <w:qFormat/>
    <w:rsid w:val="003A4B82"/>
    <w:pPr>
      <w:spacing w:after="120"/>
      <w:outlineLvl w:val="0"/>
    </w:pPr>
    <w:rPr>
      <w:rFonts w:eastAsiaTheme="minorHAnsi"/>
      <w:b/>
      <w:color w:val="004785"/>
      <w:sz w:val="32"/>
      <w:szCs w:val="32"/>
      <w:lang w:eastAsia="en-US"/>
    </w:rPr>
  </w:style>
  <w:style w:type="paragraph" w:styleId="Heading2">
    <w:name w:val="heading 2"/>
    <w:basedOn w:val="Normal"/>
    <w:next w:val="Normal"/>
    <w:link w:val="Heading2Char"/>
    <w:uiPriority w:val="9"/>
    <w:unhideWhenUsed/>
    <w:qFormat/>
    <w:rsid w:val="00532963"/>
    <w:pPr>
      <w:numPr>
        <w:numId w:val="1"/>
      </w:numPr>
      <w:spacing w:after="120" w:line="276" w:lineRule="auto"/>
      <w:ind w:left="425" w:hanging="425"/>
      <w:contextualSpacing/>
      <w:outlineLvl w:val="1"/>
    </w:pPr>
    <w:rPr>
      <w:rFonts w:eastAsiaTheme="minorHAnsi"/>
      <w:b/>
      <w:color w:val="00A2E5"/>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AD9"/>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99"/>
    <w:rsid w:val="00B61AD9"/>
  </w:style>
  <w:style w:type="paragraph" w:styleId="Footer">
    <w:name w:val="footer"/>
    <w:basedOn w:val="Normal"/>
    <w:link w:val="FooterChar"/>
    <w:uiPriority w:val="99"/>
    <w:unhideWhenUsed/>
    <w:rsid w:val="00B61AD9"/>
    <w:pPr>
      <w:tabs>
        <w:tab w:val="center" w:pos="4513"/>
        <w:tab w:val="right" w:pos="9026"/>
      </w:tabs>
    </w:pPr>
    <w:rPr>
      <w:rFonts w:eastAsiaTheme="minorHAnsi"/>
      <w:lang w:eastAsia="en-US"/>
    </w:rPr>
  </w:style>
  <w:style w:type="character" w:customStyle="1" w:styleId="FooterChar">
    <w:name w:val="Footer Char"/>
    <w:basedOn w:val="DefaultParagraphFont"/>
    <w:link w:val="Footer"/>
    <w:uiPriority w:val="99"/>
    <w:rsid w:val="00B61AD9"/>
  </w:style>
  <w:style w:type="paragraph" w:styleId="BalloonText">
    <w:name w:val="Balloon Text"/>
    <w:basedOn w:val="Normal"/>
    <w:link w:val="BalloonTextChar"/>
    <w:uiPriority w:val="99"/>
    <w:semiHidden/>
    <w:unhideWhenUsed/>
    <w:rsid w:val="00AA0C8F"/>
    <w:rPr>
      <w:rFonts w:ascii="Tahoma" w:hAnsi="Tahoma" w:cs="Tahoma"/>
      <w:sz w:val="16"/>
      <w:szCs w:val="16"/>
    </w:rPr>
  </w:style>
  <w:style w:type="character" w:customStyle="1" w:styleId="BalloonTextChar">
    <w:name w:val="Balloon Text Char"/>
    <w:basedOn w:val="DefaultParagraphFont"/>
    <w:link w:val="BalloonText"/>
    <w:uiPriority w:val="99"/>
    <w:semiHidden/>
    <w:rsid w:val="00AA0C8F"/>
    <w:rPr>
      <w:rFonts w:ascii="Tahoma" w:hAnsi="Tahoma" w:cs="Tahoma"/>
      <w:sz w:val="16"/>
      <w:szCs w:val="16"/>
    </w:rPr>
  </w:style>
  <w:style w:type="paragraph" w:styleId="ListParagraph">
    <w:name w:val="List Paragraph"/>
    <w:basedOn w:val="Normal"/>
    <w:uiPriority w:val="34"/>
    <w:qFormat/>
    <w:rsid w:val="00812923"/>
    <w:pPr>
      <w:ind w:left="720"/>
      <w:contextualSpacing/>
    </w:pPr>
  </w:style>
  <w:style w:type="character" w:customStyle="1" w:styleId="Heading2Char">
    <w:name w:val="Heading 2 Char"/>
    <w:basedOn w:val="DefaultParagraphFont"/>
    <w:link w:val="Heading2"/>
    <w:uiPriority w:val="9"/>
    <w:rsid w:val="00532963"/>
    <w:rPr>
      <w:rFonts w:ascii="Arial" w:hAnsi="Arial" w:cs="Arial"/>
      <w:b/>
      <w:color w:val="00A2E5"/>
      <w:sz w:val="28"/>
      <w:szCs w:val="28"/>
    </w:rPr>
  </w:style>
  <w:style w:type="paragraph" w:customStyle="1" w:styleId="Default">
    <w:name w:val="Default"/>
    <w:rsid w:val="000177A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9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4A72"/>
    <w:rPr>
      <w:sz w:val="16"/>
      <w:szCs w:val="16"/>
    </w:rPr>
  </w:style>
  <w:style w:type="paragraph" w:styleId="CommentText">
    <w:name w:val="annotation text"/>
    <w:basedOn w:val="Normal"/>
    <w:link w:val="CommentTextChar"/>
    <w:uiPriority w:val="99"/>
    <w:semiHidden/>
    <w:unhideWhenUsed/>
    <w:rsid w:val="008D4A72"/>
    <w:rPr>
      <w:sz w:val="20"/>
      <w:szCs w:val="20"/>
    </w:rPr>
  </w:style>
  <w:style w:type="character" w:customStyle="1" w:styleId="CommentTextChar">
    <w:name w:val="Comment Text Char"/>
    <w:basedOn w:val="DefaultParagraphFont"/>
    <w:link w:val="CommentText"/>
    <w:uiPriority w:val="99"/>
    <w:semiHidden/>
    <w:rsid w:val="008D4A7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8D4A72"/>
    <w:rPr>
      <w:b/>
      <w:bCs/>
    </w:rPr>
  </w:style>
  <w:style w:type="character" w:customStyle="1" w:styleId="CommentSubjectChar">
    <w:name w:val="Comment Subject Char"/>
    <w:basedOn w:val="CommentTextChar"/>
    <w:link w:val="CommentSubject"/>
    <w:uiPriority w:val="99"/>
    <w:semiHidden/>
    <w:rsid w:val="008D4A72"/>
    <w:rPr>
      <w:rFonts w:eastAsiaTheme="minorEastAsia"/>
      <w:b/>
      <w:bCs/>
      <w:sz w:val="20"/>
      <w:szCs w:val="20"/>
      <w:lang w:eastAsia="en-GB"/>
    </w:rPr>
  </w:style>
  <w:style w:type="paragraph" w:styleId="Revision">
    <w:name w:val="Revision"/>
    <w:hidden/>
    <w:uiPriority w:val="99"/>
    <w:semiHidden/>
    <w:rsid w:val="008D4A72"/>
    <w:pPr>
      <w:spacing w:after="0" w:line="240" w:lineRule="auto"/>
    </w:pPr>
    <w:rPr>
      <w:rFonts w:eastAsiaTheme="minorEastAsia"/>
      <w:lang w:eastAsia="en-GB"/>
    </w:rPr>
  </w:style>
  <w:style w:type="paragraph" w:styleId="Caption">
    <w:name w:val="caption"/>
    <w:basedOn w:val="Normal"/>
    <w:next w:val="Normal"/>
    <w:uiPriority w:val="35"/>
    <w:unhideWhenUsed/>
    <w:qFormat/>
    <w:rsid w:val="009B6AC6"/>
    <w:rPr>
      <w:b/>
      <w:bCs/>
      <w:color w:val="4F81BD" w:themeColor="accent1"/>
      <w:sz w:val="18"/>
      <w:szCs w:val="18"/>
    </w:rPr>
  </w:style>
  <w:style w:type="character" w:styleId="Hyperlink">
    <w:name w:val="Hyperlink"/>
    <w:basedOn w:val="DefaultParagraphFont"/>
    <w:uiPriority w:val="99"/>
    <w:unhideWhenUsed/>
    <w:rsid w:val="00FA31BC"/>
    <w:rPr>
      <w:color w:val="0000FF" w:themeColor="hyperlink"/>
      <w:u w:val="single"/>
    </w:rPr>
  </w:style>
  <w:style w:type="character" w:styleId="UnresolvedMention">
    <w:name w:val="Unresolved Mention"/>
    <w:basedOn w:val="DefaultParagraphFont"/>
    <w:uiPriority w:val="99"/>
    <w:semiHidden/>
    <w:unhideWhenUsed/>
    <w:rsid w:val="00094FC9"/>
    <w:rPr>
      <w:color w:val="605E5C"/>
      <w:shd w:val="clear" w:color="auto" w:fill="E1DFDD"/>
    </w:rPr>
  </w:style>
  <w:style w:type="character" w:customStyle="1" w:styleId="Heading1Char">
    <w:name w:val="Heading 1 Char"/>
    <w:basedOn w:val="DefaultParagraphFont"/>
    <w:link w:val="Heading1"/>
    <w:uiPriority w:val="9"/>
    <w:rsid w:val="003A4B82"/>
    <w:rPr>
      <w:rFonts w:ascii="Arial" w:hAnsi="Arial" w:cs="Arial"/>
      <w:b/>
      <w:color w:val="004785"/>
      <w:sz w:val="32"/>
      <w:szCs w:val="32"/>
    </w:rPr>
  </w:style>
  <w:style w:type="paragraph" w:styleId="Bibliography">
    <w:name w:val="Bibliography"/>
    <w:basedOn w:val="Normal"/>
    <w:next w:val="Normal"/>
    <w:uiPriority w:val="37"/>
    <w:semiHidden/>
    <w:unhideWhenUsed/>
    <w:rsid w:val="00AA4213"/>
  </w:style>
  <w:style w:type="table" w:customStyle="1" w:styleId="TableGrid1">
    <w:name w:val="Table Grid1"/>
    <w:basedOn w:val="TableNormal"/>
    <w:next w:val="TableGrid"/>
    <w:uiPriority w:val="39"/>
    <w:rsid w:val="00AA421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A4B82"/>
    <w:rPr>
      <w:b/>
      <w:color w:val="004785"/>
      <w:sz w:val="44"/>
      <w:szCs w:val="44"/>
    </w:rPr>
  </w:style>
  <w:style w:type="character" w:customStyle="1" w:styleId="TitleChar">
    <w:name w:val="Title Char"/>
    <w:basedOn w:val="DefaultParagraphFont"/>
    <w:link w:val="Title"/>
    <w:uiPriority w:val="10"/>
    <w:rsid w:val="003A4B82"/>
    <w:rPr>
      <w:rFonts w:ascii="Arial" w:eastAsiaTheme="minorEastAsia" w:hAnsi="Arial" w:cs="Arial"/>
      <w:b/>
      <w:color w:val="004785"/>
      <w:sz w:val="44"/>
      <w:szCs w:val="44"/>
      <w:lang w:eastAsia="en-GB"/>
    </w:rPr>
  </w:style>
  <w:style w:type="paragraph" w:styleId="Subtitle">
    <w:name w:val="Subtitle"/>
    <w:basedOn w:val="Normal"/>
    <w:next w:val="Normal"/>
    <w:link w:val="SubtitleChar"/>
    <w:uiPriority w:val="11"/>
    <w:qFormat/>
    <w:rsid w:val="003A4B82"/>
    <w:rPr>
      <w:bCs/>
      <w:color w:val="004785"/>
      <w:sz w:val="44"/>
      <w:szCs w:val="44"/>
    </w:rPr>
  </w:style>
  <w:style w:type="character" w:customStyle="1" w:styleId="SubtitleChar">
    <w:name w:val="Subtitle Char"/>
    <w:basedOn w:val="DefaultParagraphFont"/>
    <w:link w:val="Subtitle"/>
    <w:uiPriority w:val="11"/>
    <w:rsid w:val="003A4B82"/>
    <w:rPr>
      <w:rFonts w:ascii="Arial" w:eastAsiaTheme="minorEastAsia" w:hAnsi="Arial" w:cs="Arial"/>
      <w:bCs/>
      <w:color w:val="004785"/>
      <w:sz w:val="44"/>
      <w:szCs w:val="44"/>
      <w:lang w:eastAsia="en-GB"/>
    </w:rPr>
  </w:style>
  <w:style w:type="character" w:styleId="IntenseEmphasis">
    <w:name w:val="Intense Emphasis"/>
    <w:aliases w:val="Q-Pulse Footer"/>
    <w:uiPriority w:val="21"/>
    <w:qFormat/>
    <w:rsid w:val="003A4B82"/>
    <w:rPr>
      <w:rFonts w:ascii="Arial" w:hAnsi="Arial" w:cs="Arial"/>
      <w:color w:val="004785"/>
      <w:sz w:val="20"/>
      <w:szCs w:val="20"/>
    </w:rPr>
  </w:style>
  <w:style w:type="character" w:styleId="SubtleEmphasis">
    <w:name w:val="Subtle Emphasis"/>
    <w:aliases w:val="Network Header"/>
    <w:uiPriority w:val="19"/>
    <w:qFormat/>
    <w:rsid w:val="003A4B82"/>
    <w:rPr>
      <w:rFonts w:ascii="Arial" w:eastAsiaTheme="minorEastAsia" w:hAnsi="Arial" w:cs="Arial"/>
      <w:b/>
      <w:color w:val="365F91" w:themeColor="accent1" w:themeShade="BF"/>
      <w:sz w:val="24"/>
      <w:szCs w:val="24"/>
      <w:lang w:eastAsia="en-GB"/>
    </w:rPr>
  </w:style>
  <w:style w:type="character" w:styleId="Emphasis">
    <w:name w:val="Emphasis"/>
    <w:aliases w:val="Document Header"/>
    <w:uiPriority w:val="20"/>
    <w:qFormat/>
    <w:rsid w:val="003A4B82"/>
    <w:rPr>
      <w:rFonts w:ascii="Arial" w:eastAsiaTheme="minorEastAsia" w:hAnsi="Arial" w:cs="Arial"/>
      <w:bCs/>
      <w:color w:val="365F91" w:themeColor="accent1" w:themeShade="BF"/>
      <w:sz w:val="24"/>
      <w:szCs w:val="24"/>
      <w:lang w:eastAsia="en-GB"/>
    </w:rPr>
  </w:style>
  <w:style w:type="paragraph" w:styleId="TOCHeading">
    <w:name w:val="TOC Heading"/>
    <w:basedOn w:val="Heading1"/>
    <w:next w:val="Normal"/>
    <w:uiPriority w:val="39"/>
    <w:unhideWhenUsed/>
    <w:qFormat/>
    <w:rsid w:val="003A4B82"/>
    <w:pPr>
      <w:keepNext/>
      <w:keepLines/>
      <w:spacing w:before="240" w:after="0" w:line="259" w:lineRule="auto"/>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3A4B82"/>
    <w:pPr>
      <w:spacing w:after="100"/>
    </w:pPr>
  </w:style>
  <w:style w:type="paragraph" w:styleId="TOC2">
    <w:name w:val="toc 2"/>
    <w:basedOn w:val="Normal"/>
    <w:next w:val="Normal"/>
    <w:autoRedefine/>
    <w:uiPriority w:val="39"/>
    <w:unhideWhenUsed/>
    <w:rsid w:val="003A4B82"/>
    <w:pPr>
      <w:spacing w:after="100"/>
      <w:ind w:left="240"/>
    </w:pPr>
  </w:style>
  <w:style w:type="paragraph" w:styleId="NoSpacing">
    <w:name w:val="No Spacing"/>
    <w:uiPriority w:val="1"/>
    <w:qFormat/>
    <w:rsid w:val="0001120B"/>
    <w:pPr>
      <w:spacing w:after="0" w:line="240" w:lineRule="auto"/>
    </w:pPr>
  </w:style>
  <w:style w:type="table" w:styleId="TableGridLight">
    <w:name w:val="Grid Table Light"/>
    <w:basedOn w:val="TableNormal"/>
    <w:uiPriority w:val="40"/>
    <w:rsid w:val="000112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C7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75671">
      <w:bodyDiv w:val="1"/>
      <w:marLeft w:val="0"/>
      <w:marRight w:val="0"/>
      <w:marTop w:val="0"/>
      <w:marBottom w:val="0"/>
      <w:divBdr>
        <w:top w:val="none" w:sz="0" w:space="0" w:color="auto"/>
        <w:left w:val="none" w:sz="0" w:space="0" w:color="auto"/>
        <w:bottom w:val="none" w:sz="0" w:space="0" w:color="auto"/>
        <w:right w:val="none" w:sz="0" w:space="0" w:color="auto"/>
      </w:divBdr>
    </w:div>
    <w:div w:id="858079903">
      <w:bodyDiv w:val="1"/>
      <w:marLeft w:val="0"/>
      <w:marRight w:val="0"/>
      <w:marTop w:val="0"/>
      <w:marBottom w:val="0"/>
      <w:divBdr>
        <w:top w:val="none" w:sz="0" w:space="0" w:color="auto"/>
        <w:left w:val="none" w:sz="0" w:space="0" w:color="auto"/>
        <w:bottom w:val="none" w:sz="0" w:space="0" w:color="auto"/>
        <w:right w:val="none" w:sz="0" w:space="0" w:color="auto"/>
      </w:divBdr>
    </w:div>
    <w:div w:id="1199665540">
      <w:bodyDiv w:val="1"/>
      <w:marLeft w:val="0"/>
      <w:marRight w:val="0"/>
      <w:marTop w:val="0"/>
      <w:marBottom w:val="0"/>
      <w:divBdr>
        <w:top w:val="none" w:sz="0" w:space="0" w:color="auto"/>
        <w:left w:val="none" w:sz="0" w:space="0" w:color="auto"/>
        <w:bottom w:val="none" w:sz="0" w:space="0" w:color="auto"/>
        <w:right w:val="none" w:sz="0" w:space="0" w:color="auto"/>
      </w:divBdr>
    </w:div>
    <w:div w:id="18722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n.nhs.scot/niccs/healthcare-professionals/guidance/niccs-guid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Mus</b:Tag>
    <b:SourceType>Book</b:SourceType>
    <b:Guid>{53346E08-D2AE-4F43-B328-F8568B108918}</b:Guid>
    <b:Author>
      <b:Author>
        <b:NameList>
          <b:Person>
            <b:Last>Musallam K.M.</b:Last>
            <b:First>Rivella</b:First>
            <b:Middle>S., Vichinsky E., Rachmilewitz E.A.</b:Middle>
          </b:Person>
        </b:NameList>
      </b:Author>
    </b:Author>
    <b:Title>Non-transfusion-dependent thalassemias</b:Title>
    <b:Publisher>Haematologica</b:Publisher>
    <b:Year>2013</b:Year>
    <b:Volume>98(6)</b:Volume>
    <b:Pages>833-44</b:Pages>
    <b:RefOrder>1</b:RefOrder>
  </b:Source>
  <b:Source>
    <b:Tag>Sri08</b:Tag>
    <b:SourceType>Book</b:SourceType>
    <b:Guid>{F55A3811-953D-ED44-8794-2E10591E5283}</b:Guid>
    <b:Author>
      <b:Author>
        <b:NameList>
          <b:Person>
            <b:Last>Sripichai O.</b:Last>
            <b:First>Makarasara</b:First>
            <b:Middle>W., Munkongdee T., Kumkhaek C., Nuchprayoon I., Chuansumrit A., Chuncharunee S., Chantrakoon N., Boonmongkol P., Winichagoon P., Fucharoen S.</b:Middle>
          </b:Person>
        </b:NameList>
      </b:Author>
    </b:Author>
    <b:Title>A scoreing system for the classification off beta-thalassemia/Hb E disease severity</b:Title>
    <b:Publisher>American Journal of Hematology</b:Publisher>
    <b:Year>2008</b:Year>
    <b:Volume>83(6)</b:Volume>
    <b:Pages>482-484</b:Pages>
    <b:RefOrder>2</b:RefOrder>
  </b:Source>
  <b:Source>
    <b:Tag>Har09</b:Tag>
    <b:SourceType>Book</b:SourceType>
    <b:Guid>{18272BDC-E55C-E84A-9E75-9D9E205B5052}</b:Guid>
    <b:Author>
      <b:Author>
        <b:NameList>
          <b:Person>
            <b:Last>Harris A.M.</b:Last>
            <b:First>Atterbury</b:First>
            <b:Middle>C.L.J., Chaffe B., Elliott C., Hawkins T., Hennem S.J., Howell C., Jones J., Murray S., New H.V., Norfolk D, Pirie L., Russell J., Taylor C.</b:Middle>
          </b:Person>
        </b:NameList>
      </b:Author>
    </b:Author>
    <b:Title>Guideline on the Administration of Blood Components</b:Title>
    <b:Publisher>Brittish Committee for Standards in Haematology</b:Publisher>
    <b:Year>2009</b:Year>
    <b:RefOrder>5</b:RefOrder>
  </b:Source>
  <b:Source>
    <b:Tag>Cap14</b:Tag>
    <b:SourceType>Book</b:SourceType>
    <b:Guid>{A7590EE4-B8B5-8A48-99D3-639AFDBFA0C5}</b:Guid>
    <b:Author>
      <b:Author>
        <b:NameList>
          <b:Person>
            <b:Last>Cappellini M.D.</b:Last>
            <b:First>Cohen</b:First>
            <b:Middle>A., Porter J., Taher A., Viprakasit V.</b:Middle>
          </b:Person>
        </b:NameList>
      </b:Author>
    </b:Author>
    <b:Title>Guidelines for the management of transfusion dependent thalassaemia (TDT)</b:Title>
    <b:Publisher>Thalassaemia International Federation</b:Publisher>
    <b:Year>2014</b:Year>
    <b:RefOrder>7</b:RefOrder>
  </b:Source>
  <b:Source>
    <b:Tag>Tah13</b:Tag>
    <b:SourceType>Book</b:SourceType>
    <b:Guid>{4650A615-8F26-4044-BC6D-7DE02F0B13DC}</b:Guid>
    <b:Author>
      <b:Author>
        <b:NameList>
          <b:Person>
            <b:Last>Taher A.</b:Last>
            <b:First>Vichinsky</b:First>
            <b:Middle>E., Musallam K., Cappellini M.D., Viprakasit V.</b:Middle>
          </b:Person>
        </b:NameList>
      </b:Author>
    </b:Author>
    <b:Title>Guidelines for the management of non transfusion dependent thalassaemia (NTDT)</b:Title>
    <b:Publisher>Thalassaemia International Federation</b:Publisher>
    <b:Year>2013</b:Year>
    <b:RefOrder>4</b:RefOrder>
  </b:Source>
  <b:Source>
    <b:Tag>Bai12</b:Tag>
    <b:SourceType>Book</b:SourceType>
    <b:Guid>{CEC3D4AE-A6AE-A34E-8AA5-81B25ADD1244}</b:Guid>
    <b:Author>
      <b:Author>
        <b:NameList>
          <b:Person>
            <b:Last>Bain B.</b:Last>
            <b:First>Farrar</b:First>
            <b:Middle>L, Henthorn J., Old J., Rees D., Roper D., Stephens A., Streetly A., Wild B.</b:Middle>
          </b:Person>
        </b:NameList>
      </b:Author>
    </b:Author>
    <b:Title>Sickle Cell and Thalassaemia Handbook for Laboratories</b:Title>
    <b:Publisher>NHS Sickle Cell and Thalassaemia Screening Programme</b:Publisher>
    <b:Year>2012</b:Year>
    <b:RefOrder>3</b:RefOrder>
  </b:Source>
  <b:Source>
    <b:Tag>Dav</b:Tag>
    <b:SourceType>Book</b:SourceType>
    <b:Guid>{3805F260-1175-F746-B7E7-81B46CD6A3F7}</b:Guid>
    <b:Author>
      <b:Author>
        <b:NameList>
          <b:Person>
            <b:Last>Davies J.M.</b:Last>
            <b:First>Lewis</b:First>
            <b:Middle>M.P.N., Wimperis J., Rafi I., Ladhani S., Bolton-Maggs P.H.B.</b:Middle>
          </b:Person>
        </b:NameList>
      </b:Author>
    </b:Author>
    <b:Title>Review of guidelines for the prevention and treatment of infection in patients with an absent or dysfunctional spleen: Prepared on behalf of the British Committee for Standards in Haematology by a Working Party of the Haemato-Oncology Task Force</b:Title>
    <b:Publisher>British Journal of Haematology</b:Publisher>
    <b:Volume>155</b:Volume>
    <b:Pages>308-317</b:Pages>
    <b:Year>2011</b:Year>
    <b:RefOrder>6</b:RefOrder>
  </b:Source>
</b:Sources>
</file>

<file path=customXml/itemProps1.xml><?xml version="1.0" encoding="utf-8"?>
<ds:datastoreItem xmlns:ds="http://schemas.openxmlformats.org/officeDocument/2006/customXml" ds:itemID="{05DD38A0-BBA3-4D25-ACAB-D0036D03E101}">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Paolina Leseva</dc:creator>
  <cp:lastModifiedBy>Leanne Baxter</cp:lastModifiedBy>
  <cp:revision>24</cp:revision>
  <cp:lastPrinted>2024-07-18T12:17:00Z</cp:lastPrinted>
  <dcterms:created xsi:type="dcterms:W3CDTF">2024-10-04T13:09:00Z</dcterms:created>
  <dcterms:modified xsi:type="dcterms:W3CDTF">2025-10-13T07:49:00Z</dcterms:modified>
</cp:coreProperties>
</file>